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B4647" w14:textId="0728E69E" w:rsidR="00600408" w:rsidRPr="00600408" w:rsidRDefault="00600408" w:rsidP="009D5B58">
      <w:pPr>
        <w:spacing w:line="276" w:lineRule="auto"/>
        <w:jc w:val="center"/>
        <w:rPr>
          <w:b/>
          <w:bCs/>
        </w:rPr>
      </w:pPr>
      <w:r w:rsidRPr="00600408">
        <w:rPr>
          <w:b/>
          <w:bCs/>
        </w:rPr>
        <w:t>Final Project Executive Summary</w:t>
      </w:r>
    </w:p>
    <w:p w14:paraId="4D616296" w14:textId="150B4069" w:rsidR="00600408" w:rsidRDefault="00600408" w:rsidP="009D5B58">
      <w:pPr>
        <w:spacing w:line="276" w:lineRule="auto"/>
        <w:jc w:val="center"/>
      </w:pPr>
      <w:r>
        <w:t>The Monitoring Phase of the West Fontana Channel Habitat Restoration Project: Closing Out a Multi-Year Restoration Plan</w:t>
      </w:r>
    </w:p>
    <w:p w14:paraId="44FC0AE9" w14:textId="2F5764FF" w:rsidR="00600408" w:rsidRDefault="00600408" w:rsidP="009D5B58">
      <w:pPr>
        <w:spacing w:line="276" w:lineRule="auto"/>
        <w:jc w:val="center"/>
      </w:pPr>
      <w:r>
        <w:t xml:space="preserve">Authored by </w:t>
      </w:r>
      <w:r w:rsidRPr="00600408">
        <w:rPr>
          <w:b/>
          <w:bCs/>
        </w:rPr>
        <w:t>Daniel Gonza</w:t>
      </w:r>
      <w:r>
        <w:t>lez for the degree of Professional Science Master (P.S.M.) in Environmental Sciences, Oregon State University, Presented March 11</w:t>
      </w:r>
      <w:r w:rsidRPr="00600408">
        <w:rPr>
          <w:vertAlign w:val="superscript"/>
        </w:rPr>
        <w:t>th</w:t>
      </w:r>
      <w:r>
        <w:t>, 2026</w:t>
      </w:r>
    </w:p>
    <w:p w14:paraId="5C58522F" w14:textId="160F82B0" w:rsidR="00600408" w:rsidRDefault="00600408" w:rsidP="009D5B58">
      <w:pPr>
        <w:spacing w:line="276" w:lineRule="auto"/>
        <w:jc w:val="center"/>
      </w:pPr>
      <w:r>
        <w:t>Graduate Advisor: Dr. Carolyn Fonyo</w:t>
      </w:r>
    </w:p>
    <w:p w14:paraId="0AFF4DE3" w14:textId="57E8559A" w:rsidR="00600408" w:rsidRDefault="00600408" w:rsidP="009D5B58">
      <w:pPr>
        <w:spacing w:line="276" w:lineRule="auto"/>
        <w:jc w:val="center"/>
      </w:pPr>
      <w:r>
        <w:t>Graduate Committee: Dr. Ken Diebel, Dr. Bradley Barnhart</w:t>
      </w:r>
    </w:p>
    <w:p w14:paraId="5FE8D3EA" w14:textId="67675311" w:rsidR="00600408" w:rsidRDefault="00600408" w:rsidP="009D5B58">
      <w:pPr>
        <w:spacing w:line="276" w:lineRule="auto"/>
      </w:pPr>
      <w:r>
        <w:t>Abstract:</w:t>
      </w:r>
    </w:p>
    <w:p w14:paraId="25D68281" w14:textId="77777777" w:rsidR="00600408" w:rsidRPr="00600408" w:rsidRDefault="00600408" w:rsidP="009D5B58">
      <w:pPr>
        <w:spacing w:line="276" w:lineRule="auto"/>
      </w:pPr>
      <w:r w:rsidRPr="00600408">
        <w:t>Cornerstone Development Company is a development and construction company based out of Victorville, with three subsidiaries, Cornerstone Construction Company, Cornerstone Utility Engineering, and Cornerstone Consulting Services. Cornerstone Consulting Services is the Subsidiary that focuses on environmental consulting and the intake of environmental analysis for utility construction projects. The goal and focus of Cornerstone Consulting Services is world change through environmental responsibility. The West Fontana Channel Improvement Project is a restoration project with the area is a narrow buffer zone spanning 1.51 acres that sits just north of the drainage channel and a rail line. The mitigation sites are intended to reduce noise from the rail, improve air quality along the channel, and provide a space for native flora and fauna in an otherwise industrial area. This site is surveyed quarterly by Cornerstone Consulting Services and adaptive management efforts are made based on the survey results. The initial goal of 70% native ground cover for all 5 sites within the mitigation area has already been met, and now the project is focused on continued monitoring of these sites. My role as the project biologist is to be involved in every step in the planning, performance, and reporting for site field visits. This includes producing the field day schedules, ensuring that all pre-visit site maintenance is performed and that all safety measures have been adequately set in place before site visits. During the field visit I am responsible for filling out all field survey safety forms, conducting the field survey, and ensuring all tasks are completed. Post field day I am responsible for compiling the data and pictures taken during the field day and consolidating them into the report that gets sent to the county. This report analysis 3 quarterly surveys and discusses recommendations made in 3 quarterly reports and the annual report. This project helped me develop project management skills, field leadership skills, and furthered my knowledge of ecological restoration. It also presented me with unique challenges related to the project and forced me to improve my problem-solving skills and strengthen my ability to communicate with stakeholders.</w:t>
      </w:r>
    </w:p>
    <w:p w14:paraId="23272AF7" w14:textId="77777777" w:rsidR="00600408" w:rsidRDefault="00600408" w:rsidP="009D5B58">
      <w:pPr>
        <w:spacing w:line="276" w:lineRule="auto"/>
      </w:pPr>
    </w:p>
    <w:p w14:paraId="22FF34D7" w14:textId="72BB2BE7" w:rsidR="008F13EB" w:rsidRDefault="008F13EB" w:rsidP="009D5B58">
      <w:pPr>
        <w:spacing w:line="276" w:lineRule="auto"/>
      </w:pPr>
      <w:r>
        <w:lastRenderedPageBreak/>
        <w:t>Background:</w:t>
      </w:r>
    </w:p>
    <w:p w14:paraId="63DF12F1" w14:textId="002E2283" w:rsidR="008F13EB" w:rsidRDefault="008F13EB" w:rsidP="009D5B58">
      <w:pPr>
        <w:spacing w:line="276" w:lineRule="auto"/>
      </w:pPr>
      <w:r w:rsidRPr="008F13EB">
        <w:t>The West Fontana Channel mitigation monitoring area is an approximately 1.5-acre strip of land immediately north of the West Fontana Channel running east to west across the city of Fontana. The mitigation area sits on the western side of Fontana California, a suburban city in San Bernadino County that sits at the southeastern edge of the San Gabriel Mountain Range and the southwestern edge of the San Bernadino Mountains. The mitigation area is divided into 5 mitigation sites which are separated by a mixture or streets, and access roads.</w:t>
      </w:r>
    </w:p>
    <w:p w14:paraId="2FE65CB9" w14:textId="5C5E5C77" w:rsidR="008F13EB" w:rsidRDefault="008F13EB" w:rsidP="009D5B58">
      <w:pPr>
        <w:spacing w:line="276" w:lineRule="auto"/>
      </w:pPr>
      <w:r w:rsidRPr="008F13EB">
        <w:t>Historically the region south of the San Gabriel Mountain Range and San Bernardino Mountain Range has dealt with major flash flooding issues (</w:t>
      </w:r>
      <w:proofErr w:type="spellStart"/>
      <w:r w:rsidRPr="008F13EB">
        <w:t>Modrick</w:t>
      </w:r>
      <w:proofErr w:type="spellEnd"/>
      <w:r w:rsidRPr="008F13EB">
        <w:t xml:space="preserve"> &amp; </w:t>
      </w:r>
      <w:proofErr w:type="spellStart"/>
      <w:r w:rsidRPr="008F13EB">
        <w:t>Georgakakos</w:t>
      </w:r>
      <w:proofErr w:type="spellEnd"/>
      <w:r w:rsidRPr="008F13EB">
        <w:t>, 2015). This is due to a combination of climatic factors, and the topographic characteristics of the region. Southern California is prone to severe drought which causes the soil to become dry and loose, Dry and loose soil has lower structural integrity and is more prone to run off. When rain does occur, the dry topsoil runs off. In relatively flat areas the impact of runoff is not significant, but much of Urban Los Angeles and San Bernadino counties sit at the base of the mountains.</w:t>
      </w:r>
    </w:p>
    <w:p w14:paraId="6CA14A20" w14:textId="0ECC2EC9" w:rsidR="009D5B58" w:rsidRDefault="009D5B58" w:rsidP="009D5B58">
      <w:pPr>
        <w:spacing w:line="276" w:lineRule="auto"/>
      </w:pPr>
      <w:r w:rsidRPr="009D5B58">
        <w:t xml:space="preserve">To prevent significant damage from these flash floods, Los Angeles County and San Bernadino County Public works developed a massive network of flood control channels and flood catchment zones which span from. San Bernadino county alone has over 20,000 square miles of flood channels. These flood channels can be found in urban, suburban, industrial, and rural areas. A map of the Flood Channels within the city of Fontana can be seen below (Figure </w:t>
      </w:r>
      <w:r>
        <w:t>1</w:t>
      </w:r>
      <w:r w:rsidRPr="009D5B58">
        <w:t>). They often have buffer areas surrounding them that are narrows strip of bare ground, which is exactly what the West Fontana Channel Habitat Mitigation and Monitoring area was at the inception of the project.</w:t>
      </w:r>
    </w:p>
    <w:p w14:paraId="2D8F4D4F" w14:textId="1DA66043" w:rsidR="009D5B58" w:rsidRPr="009D5B58" w:rsidRDefault="009D5B58" w:rsidP="009D5B58">
      <w:pPr>
        <w:spacing w:line="276" w:lineRule="auto"/>
      </w:pPr>
      <w:r w:rsidRPr="009D5B58">
        <w:tab/>
        <w:t>The initial goal of the West Fontana Channel Habitat Restoration Project is for the native vegetation cover to reach 60% by year 3 and 70% by year 5. 2025 marked the 5</w:t>
      </w:r>
      <w:r w:rsidRPr="009D5B58">
        <w:rPr>
          <w:vertAlign w:val="superscript"/>
        </w:rPr>
        <w:t>th</w:t>
      </w:r>
      <w:r w:rsidRPr="009D5B58">
        <w:t xml:space="preserve"> year of the project’s lifespan, and at this point the goal of 70% native vegetation cover across all five Mitigations Sites has been met. Now the goal of the project is to monitor the sites and ensure that the native plants remain healthy and maintain the 70% native vegetation cover threshold.</w:t>
      </w:r>
      <w:r>
        <w:t xml:space="preserve"> </w:t>
      </w:r>
      <w:r w:rsidR="00D30ECA">
        <w:t xml:space="preserve">Pictures of all 5 sites included in Figure 2. </w:t>
      </w:r>
      <w:r w:rsidRPr="009D5B58">
        <w:t>In order to remain in line with the standard structure of Oregon State University ESGP internship projects, this project has two major research questions. The first research question is, can the West Fontana Channel Habitat Restoration Project achieve its five-year goal of over 70% native vegetation cover.  The second research question is, is this project effective at restoring the sight and could it be improved to be more effective.</w:t>
      </w:r>
    </w:p>
    <w:p w14:paraId="08FEFE49" w14:textId="77777777" w:rsidR="009D5B58" w:rsidRDefault="009D5B58" w:rsidP="009D5B58">
      <w:pPr>
        <w:spacing w:line="276" w:lineRule="auto"/>
      </w:pPr>
    </w:p>
    <w:p w14:paraId="462C6A11" w14:textId="30EDE731" w:rsidR="009D5B58" w:rsidRDefault="009D5B58" w:rsidP="009D5B58">
      <w:pPr>
        <w:spacing w:line="276" w:lineRule="auto"/>
        <w:jc w:val="center"/>
      </w:pPr>
      <w:r>
        <w:rPr>
          <w:rFonts w:ascii="Times New Roman" w:hAnsi="Times New Roman" w:cs="Times New Roman"/>
          <w:noProof/>
        </w:rPr>
        <w:lastRenderedPageBreak/>
        <w:drawing>
          <wp:inline distT="0" distB="0" distL="0" distR="0" wp14:anchorId="31CB148C" wp14:editId="426EDA5F">
            <wp:extent cx="3290909" cy="4933507"/>
            <wp:effectExtent l="0" t="0" r="0" b="0"/>
            <wp:docPr id="1724405611" name="Picture 2"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5611" name="Picture 2" descr="Map&#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3301314" cy="4949106"/>
                    </a:xfrm>
                    <a:prstGeom prst="rect">
                      <a:avLst/>
                    </a:prstGeom>
                  </pic:spPr>
                </pic:pic>
              </a:graphicData>
            </a:graphic>
          </wp:inline>
        </w:drawing>
      </w:r>
    </w:p>
    <w:p w14:paraId="2B4963C7" w14:textId="26B1E34A" w:rsidR="009D5B58" w:rsidRDefault="009D5B58" w:rsidP="009D5B58">
      <w:pPr>
        <w:spacing w:line="276" w:lineRule="auto"/>
        <w:ind w:left="720"/>
        <w:rPr>
          <w:rFonts w:ascii="Times New Roman" w:hAnsi="Times New Roman" w:cs="Times New Roman"/>
        </w:rPr>
      </w:pPr>
      <w:r w:rsidRPr="00632F0E">
        <w:rPr>
          <w:rFonts w:ascii="Times New Roman" w:hAnsi="Times New Roman" w:cs="Times New Roman"/>
          <w:b/>
          <w:bCs/>
        </w:rPr>
        <w:t xml:space="preserve">Figure </w:t>
      </w:r>
      <w:r>
        <w:rPr>
          <w:rFonts w:ascii="Times New Roman" w:hAnsi="Times New Roman" w:cs="Times New Roman"/>
          <w:b/>
          <w:bCs/>
        </w:rPr>
        <w:t>1</w:t>
      </w:r>
      <w:r>
        <w:rPr>
          <w:rFonts w:ascii="Times New Roman" w:hAnsi="Times New Roman" w:cs="Times New Roman"/>
        </w:rPr>
        <w:t>. Map of all Storm Drain Flood Infrastructure in Fontana California. The West Fontana Channel can be seen in the middle of the yellow section (1-10 North). This Image was taken from the City of Fontana Webpage.</w:t>
      </w:r>
    </w:p>
    <w:p w14:paraId="25B9F7FF" w14:textId="77777777" w:rsidR="00D30ECA" w:rsidRDefault="00D30ECA" w:rsidP="00D30ECA">
      <w:pPr>
        <w:spacing w:line="276" w:lineRule="auto"/>
        <w:rPr>
          <w:rFonts w:ascii="Times New Roman" w:hAnsi="Times New Roman" w:cs="Times New Roman"/>
        </w:rPr>
      </w:pPr>
    </w:p>
    <w:p w14:paraId="6244180C" w14:textId="77777777" w:rsidR="009D5B58" w:rsidRPr="009D5B58" w:rsidRDefault="009D5B58" w:rsidP="009D5B58">
      <w:pPr>
        <w:rPr>
          <w:b/>
          <w:bCs/>
        </w:rPr>
      </w:pPr>
      <w:r w:rsidRPr="009D5B58">
        <w:rPr>
          <w:b/>
          <w:bCs/>
        </w:rPr>
        <w:lastRenderedPageBreak/>
        <w:drawing>
          <wp:inline distT="0" distB="0" distL="0" distR="0" wp14:anchorId="7B6A0702" wp14:editId="269407E3">
            <wp:extent cx="1924493" cy="1924493"/>
            <wp:effectExtent l="0" t="0" r="6350" b="6350"/>
            <wp:docPr id="804567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67911" name="Picture 80456791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6808" cy="1966808"/>
                    </a:xfrm>
                    <a:prstGeom prst="rect">
                      <a:avLst/>
                    </a:prstGeom>
                  </pic:spPr>
                </pic:pic>
              </a:graphicData>
            </a:graphic>
          </wp:inline>
        </w:drawing>
      </w:r>
      <w:r w:rsidRPr="009D5B58">
        <w:rPr>
          <w:b/>
          <w:bCs/>
        </w:rPr>
        <w:drawing>
          <wp:inline distT="0" distB="0" distL="0" distR="0" wp14:anchorId="4C6D3197" wp14:editId="4D2F31BD">
            <wp:extent cx="1913861" cy="1913861"/>
            <wp:effectExtent l="0" t="0" r="4445" b="4445"/>
            <wp:docPr id="894292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92033" name="Picture 89429203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2364" cy="1942364"/>
                    </a:xfrm>
                    <a:prstGeom prst="rect">
                      <a:avLst/>
                    </a:prstGeom>
                  </pic:spPr>
                </pic:pic>
              </a:graphicData>
            </a:graphic>
          </wp:inline>
        </w:drawing>
      </w:r>
      <w:r w:rsidRPr="009D5B58">
        <w:rPr>
          <w:b/>
          <w:bCs/>
        </w:rPr>
        <w:drawing>
          <wp:inline distT="0" distB="0" distL="0" distR="0" wp14:anchorId="698AE3C6" wp14:editId="4C35F61A">
            <wp:extent cx="1924493" cy="1924493"/>
            <wp:effectExtent l="0" t="0" r="6350" b="6350"/>
            <wp:docPr id="1099381622" name="Picture 3" descr="A picture containing text, outdoor, grass, yel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81622" name="Picture 3" descr="A picture containing text, outdoor, grass, yellow&#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4601" cy="1964601"/>
                    </a:xfrm>
                    <a:prstGeom prst="rect">
                      <a:avLst/>
                    </a:prstGeom>
                  </pic:spPr>
                </pic:pic>
              </a:graphicData>
            </a:graphic>
          </wp:inline>
        </w:drawing>
      </w:r>
      <w:r w:rsidRPr="009D5B58">
        <w:rPr>
          <w:b/>
          <w:bCs/>
        </w:rPr>
        <w:drawing>
          <wp:inline distT="0" distB="0" distL="0" distR="0" wp14:anchorId="101D2ACD" wp14:editId="123667BA">
            <wp:extent cx="1913860" cy="1913860"/>
            <wp:effectExtent l="0" t="0" r="4445" b="4445"/>
            <wp:docPr id="1817181506" name="Picture 4" descr="A picture containing grass, outdoo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81506" name="Picture 4" descr="A picture containing grass, outdoor, perso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4680" cy="1944680"/>
                    </a:xfrm>
                    <a:prstGeom prst="rect">
                      <a:avLst/>
                    </a:prstGeom>
                  </pic:spPr>
                </pic:pic>
              </a:graphicData>
            </a:graphic>
          </wp:inline>
        </w:drawing>
      </w:r>
      <w:r w:rsidRPr="009D5B58">
        <w:rPr>
          <w:b/>
          <w:bCs/>
        </w:rPr>
        <w:drawing>
          <wp:inline distT="0" distB="0" distL="0" distR="0" wp14:anchorId="6EF249C5" wp14:editId="4D60B617">
            <wp:extent cx="1924493" cy="1924493"/>
            <wp:effectExtent l="0" t="0" r="6350" b="6350"/>
            <wp:docPr id="1589660220" name="Picture 5" descr="A picture containing grass, outdoor,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60220" name="Picture 5" descr="A picture containing grass, outdoor, brid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1429" cy="1961429"/>
                    </a:xfrm>
                    <a:prstGeom prst="rect">
                      <a:avLst/>
                    </a:prstGeom>
                  </pic:spPr>
                </pic:pic>
              </a:graphicData>
            </a:graphic>
          </wp:inline>
        </w:drawing>
      </w:r>
      <w:r w:rsidRPr="009D5B58">
        <w:rPr>
          <w:b/>
          <w:bCs/>
        </w:rPr>
        <w:drawing>
          <wp:inline distT="0" distB="0" distL="0" distR="0" wp14:anchorId="385C08B4" wp14:editId="54189032">
            <wp:extent cx="1924493" cy="1924493"/>
            <wp:effectExtent l="0" t="0" r="6350" b="6350"/>
            <wp:docPr id="823373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73229" name="Picture 8233732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3809" cy="1993809"/>
                    </a:xfrm>
                    <a:prstGeom prst="rect">
                      <a:avLst/>
                    </a:prstGeom>
                  </pic:spPr>
                </pic:pic>
              </a:graphicData>
            </a:graphic>
          </wp:inline>
        </w:drawing>
      </w:r>
    </w:p>
    <w:p w14:paraId="695B5D72" w14:textId="43924D9D" w:rsidR="009D5B58" w:rsidRPr="009D5B58" w:rsidRDefault="009D5B58" w:rsidP="009D5B58">
      <w:pPr>
        <w:rPr>
          <w:b/>
          <w:bCs/>
        </w:rPr>
      </w:pPr>
      <w:r w:rsidRPr="009D5B58">
        <w:rPr>
          <w:b/>
          <w:bCs/>
        </w:rPr>
        <w:drawing>
          <wp:anchor distT="0" distB="0" distL="114300" distR="114300" simplePos="0" relativeHeight="251658240" behindDoc="0" locked="0" layoutInCell="1" allowOverlap="1" wp14:anchorId="08A85F09" wp14:editId="47459958">
            <wp:simplePos x="914400" y="4933507"/>
            <wp:positionH relativeFrom="column">
              <wp:align>left</wp:align>
            </wp:positionH>
            <wp:positionV relativeFrom="paragraph">
              <wp:align>top</wp:align>
            </wp:positionV>
            <wp:extent cx="1924493" cy="1924493"/>
            <wp:effectExtent l="0" t="0" r="6350" b="6350"/>
            <wp:wrapSquare wrapText="bothSides"/>
            <wp:docPr id="448643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43237" name="Picture 4486432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4493" cy="1924493"/>
                    </a:xfrm>
                    <a:prstGeom prst="rect">
                      <a:avLst/>
                    </a:prstGeom>
                  </pic:spPr>
                </pic:pic>
              </a:graphicData>
            </a:graphic>
          </wp:anchor>
        </w:drawing>
      </w:r>
      <w:r>
        <w:rPr>
          <w:b/>
          <w:bCs/>
        </w:rPr>
        <w:br w:type="textWrapping" w:clear="all"/>
      </w:r>
    </w:p>
    <w:p w14:paraId="711CDD7D" w14:textId="75066716" w:rsidR="009D5B58" w:rsidRDefault="009D5B58" w:rsidP="009D5B58">
      <w:r w:rsidRPr="009D5B58">
        <w:rPr>
          <w:b/>
          <w:bCs/>
        </w:rPr>
        <w:t xml:space="preserve">Figure </w:t>
      </w:r>
      <w:r w:rsidR="00D30ECA">
        <w:rPr>
          <w:b/>
          <w:bCs/>
        </w:rPr>
        <w:t>2</w:t>
      </w:r>
      <w:r w:rsidRPr="009D5B58">
        <w:rPr>
          <w:b/>
          <w:bCs/>
        </w:rPr>
        <w:t>.</w:t>
      </w:r>
      <w:r w:rsidRPr="009D5B58">
        <w:t xml:space="preserve"> Photos of the Starting Point Each Survey Transect. These Starting points are the edge of the transect closest to the entrance to the Mitigation site. For the mitigation sites with two transects, they are labeled “A” and “B”. These labels are assigned based on distance from where the field crew enters the site. All photos are dated, and timed. These photos were captured by CCS Biologist Esmeralda Soto.</w:t>
      </w:r>
    </w:p>
    <w:p w14:paraId="668D5D58" w14:textId="3E9B7E51" w:rsidR="00D30ECA" w:rsidRDefault="00D30ECA" w:rsidP="009D5B58">
      <w:r>
        <w:t>Methods:</w:t>
      </w:r>
    </w:p>
    <w:p w14:paraId="728ECE20" w14:textId="77777777" w:rsidR="00D30ECA" w:rsidRPr="00D30ECA" w:rsidRDefault="00D30ECA" w:rsidP="00D30ECA">
      <w:r w:rsidRPr="00D30ECA">
        <w:t xml:space="preserve">Native vegetation cover is measured using a randomized point intercept methodology. After completion of the first round of planting 50 meter transects were established at random to </w:t>
      </w:r>
      <w:r w:rsidRPr="00D30ECA">
        <w:lastRenderedPageBreak/>
        <w:t xml:space="preserve">give an estimated value for overall native vegetation cover. For the mitigation sites smaller than 1,500 square meters, only one 50-meter transect was measured. For the mitigation sites larger than 1,500 square meters, two 50-meter transects were measured. Every 5 meters along each transect, the ground cover species was identified, and the height of the vegetation was measured. </w:t>
      </w:r>
    </w:p>
    <w:p w14:paraId="1B7F1FCA" w14:textId="1C7B4730" w:rsidR="00D30ECA" w:rsidRDefault="00D30ECA" w:rsidP="009D5B58">
      <w:r w:rsidRPr="00D30ECA">
        <w:t>Upon determining the species found at each point along the transect, biologists identify them as either native species or nonnative/invasive. This information is used to calculate the native ground cover percentage, nonnative ground cover percentage, and percentage bare ground.  Additional ecosystem health data is collected at each site prior to the survey in order to provide more context as to the overall quality of the site at the time of the site visit. This data includes, time of day, temperature, windspeed, wildlife observed, and signs of wildlife. “Wildlife observed” refers to biologists in the field actively observing individual(s) of a species, while “Signs of wildlife” refers to biologists encountering indications that a species utilizes the area but is not currently present.</w:t>
      </w:r>
    </w:p>
    <w:p w14:paraId="2C9E1755" w14:textId="365582BF" w:rsidR="00D30ECA" w:rsidRDefault="00D30ECA" w:rsidP="00D30ECA">
      <w:pPr>
        <w:rPr>
          <w:rFonts w:ascii="Times New Roman" w:hAnsi="Times New Roman" w:cs="Times New Roman"/>
        </w:rPr>
      </w:pPr>
      <w:r w:rsidRPr="00D3009C">
        <w:rPr>
          <w:rFonts w:ascii="Times New Roman" w:hAnsi="Times New Roman" w:cs="Times New Roman"/>
        </w:rPr>
        <w:t>All collected data is used to determine overall si</w:t>
      </w:r>
      <w:r>
        <w:rPr>
          <w:rFonts w:ascii="Times New Roman" w:hAnsi="Times New Roman" w:cs="Times New Roman"/>
        </w:rPr>
        <w:t>te</w:t>
      </w:r>
      <w:r w:rsidRPr="00D3009C">
        <w:rPr>
          <w:rFonts w:ascii="Times New Roman" w:hAnsi="Times New Roman" w:cs="Times New Roman"/>
        </w:rPr>
        <w:t xml:space="preserve"> health. Each mitigation site is the</w:t>
      </w:r>
      <w:r>
        <w:rPr>
          <w:rFonts w:ascii="Times New Roman" w:hAnsi="Times New Roman" w:cs="Times New Roman"/>
        </w:rPr>
        <w:t>n</w:t>
      </w:r>
      <w:r w:rsidRPr="00D3009C">
        <w:rPr>
          <w:rFonts w:ascii="Times New Roman" w:hAnsi="Times New Roman" w:cs="Times New Roman"/>
        </w:rPr>
        <w:t xml:space="preserve"> assigned a vegetation health condition classification. Criteria for the vegetation health condition was established by San Bernadino County at the beginning of the project and is listed below</w:t>
      </w:r>
      <w:r>
        <w:rPr>
          <w:rFonts w:ascii="Times New Roman" w:hAnsi="Times New Roman" w:cs="Times New Roman"/>
        </w:rPr>
        <w:t xml:space="preserve"> (Table </w:t>
      </w:r>
      <w:r>
        <w:rPr>
          <w:rFonts w:ascii="Times New Roman" w:hAnsi="Times New Roman" w:cs="Times New Roman"/>
        </w:rPr>
        <w:t>1</w:t>
      </w:r>
      <w:r>
        <w:rPr>
          <w:rFonts w:ascii="Times New Roman" w:hAnsi="Times New Roman" w:cs="Times New Roman"/>
        </w:rPr>
        <w:t>.)</w:t>
      </w:r>
      <w:r w:rsidRPr="00D3009C">
        <w:rPr>
          <w:rFonts w:ascii="Times New Roman" w:hAnsi="Times New Roman" w:cs="Times New Roman"/>
        </w:rPr>
        <w:t>.</w:t>
      </w:r>
    </w:p>
    <w:tbl>
      <w:tblPr>
        <w:tblStyle w:val="TableGrid"/>
        <w:tblW w:w="0" w:type="auto"/>
        <w:jc w:val="center"/>
        <w:tblLook w:val="04A0" w:firstRow="1" w:lastRow="0" w:firstColumn="1" w:lastColumn="0" w:noHBand="0" w:noVBand="1"/>
      </w:tblPr>
      <w:tblGrid>
        <w:gridCol w:w="2155"/>
        <w:gridCol w:w="7195"/>
      </w:tblGrid>
      <w:tr w:rsidR="00D30ECA" w14:paraId="14786CD3" w14:textId="77777777" w:rsidTr="003B46DF">
        <w:trPr>
          <w:jc w:val="center"/>
        </w:trPr>
        <w:tc>
          <w:tcPr>
            <w:tcW w:w="2155" w:type="dxa"/>
          </w:tcPr>
          <w:p w14:paraId="47F1D758" w14:textId="77777777" w:rsidR="00D30ECA" w:rsidRPr="00B742A3" w:rsidRDefault="00D30ECA" w:rsidP="00D30ECA">
            <w:pPr>
              <w:spacing w:line="276" w:lineRule="auto"/>
              <w:rPr>
                <w:rFonts w:ascii="Times New Roman" w:hAnsi="Times New Roman" w:cs="Times New Roman"/>
                <w:sz w:val="20"/>
                <w:szCs w:val="20"/>
              </w:rPr>
            </w:pPr>
            <w:r w:rsidRPr="00B742A3">
              <w:rPr>
                <w:rFonts w:ascii="Times New Roman" w:hAnsi="Times New Roman" w:cs="Times New Roman"/>
                <w:sz w:val="20"/>
                <w:szCs w:val="20"/>
              </w:rPr>
              <w:t>Vegetation Health Condition Classification</w:t>
            </w:r>
          </w:p>
        </w:tc>
        <w:tc>
          <w:tcPr>
            <w:tcW w:w="7195" w:type="dxa"/>
          </w:tcPr>
          <w:p w14:paraId="23DF1F0A" w14:textId="77777777" w:rsidR="00D30ECA" w:rsidRDefault="00D30ECA" w:rsidP="00D30ECA">
            <w:pPr>
              <w:spacing w:line="276" w:lineRule="auto"/>
              <w:jc w:val="center"/>
              <w:rPr>
                <w:rFonts w:ascii="Times New Roman" w:hAnsi="Times New Roman" w:cs="Times New Roman"/>
                <w:sz w:val="28"/>
                <w:szCs w:val="28"/>
              </w:rPr>
            </w:pPr>
          </w:p>
          <w:p w14:paraId="41B694D4" w14:textId="77777777" w:rsidR="00D30ECA" w:rsidRPr="005235E5" w:rsidRDefault="00D30ECA" w:rsidP="00D30ECA">
            <w:pPr>
              <w:spacing w:line="276" w:lineRule="auto"/>
              <w:jc w:val="center"/>
              <w:rPr>
                <w:rFonts w:ascii="Times New Roman" w:hAnsi="Times New Roman" w:cs="Times New Roman"/>
                <w:sz w:val="28"/>
                <w:szCs w:val="28"/>
              </w:rPr>
            </w:pPr>
            <w:r w:rsidRPr="005235E5">
              <w:rPr>
                <w:rFonts w:ascii="Times New Roman" w:hAnsi="Times New Roman" w:cs="Times New Roman"/>
                <w:sz w:val="28"/>
                <w:szCs w:val="28"/>
              </w:rPr>
              <w:t>Criteria</w:t>
            </w:r>
          </w:p>
        </w:tc>
      </w:tr>
      <w:tr w:rsidR="00D30ECA" w14:paraId="08D8C450" w14:textId="77777777" w:rsidTr="003B46DF">
        <w:trPr>
          <w:trHeight w:val="917"/>
          <w:jc w:val="center"/>
        </w:trPr>
        <w:tc>
          <w:tcPr>
            <w:tcW w:w="2155" w:type="dxa"/>
          </w:tcPr>
          <w:p w14:paraId="6AF38C07" w14:textId="77777777" w:rsidR="00D30ECA" w:rsidRPr="00C85434" w:rsidRDefault="00D30ECA" w:rsidP="00D30ECA">
            <w:pPr>
              <w:pStyle w:val="ListParagraph"/>
              <w:numPr>
                <w:ilvl w:val="0"/>
                <w:numId w:val="1"/>
              </w:numPr>
              <w:spacing w:line="276" w:lineRule="auto"/>
              <w:rPr>
                <w:rFonts w:ascii="Times New Roman" w:hAnsi="Times New Roman" w:cs="Times New Roman"/>
              </w:rPr>
            </w:pPr>
            <w:r w:rsidRPr="00C85434">
              <w:rPr>
                <w:rFonts w:ascii="Times New Roman" w:hAnsi="Times New Roman" w:cs="Times New Roman"/>
              </w:rPr>
              <w:t>Excellent</w:t>
            </w:r>
          </w:p>
        </w:tc>
        <w:tc>
          <w:tcPr>
            <w:tcW w:w="7195" w:type="dxa"/>
          </w:tcPr>
          <w:p w14:paraId="1C4FDD49" w14:textId="77777777" w:rsidR="00D30ECA" w:rsidRPr="00B742A3" w:rsidRDefault="00D30ECA" w:rsidP="00D30ECA">
            <w:pPr>
              <w:widowControl w:val="0"/>
              <w:tabs>
                <w:tab w:val="left" w:pos="1560"/>
              </w:tabs>
              <w:suppressAutoHyphens/>
              <w:autoSpaceDE w:val="0"/>
              <w:autoSpaceDN w:val="0"/>
              <w:spacing w:before="180" w:line="276" w:lineRule="auto"/>
              <w:ind w:right="1002"/>
              <w:jc w:val="both"/>
              <w:rPr>
                <w:rFonts w:ascii="Times New Roman" w:eastAsia="Calibri" w:hAnsi="Times New Roman" w:cs="Times New Roman"/>
                <w:sz w:val="20"/>
                <w:szCs w:val="20"/>
              </w:rPr>
            </w:pPr>
            <w:r w:rsidRPr="00B742A3">
              <w:rPr>
                <w:rFonts w:ascii="Times New Roman" w:eastAsia="Calibri" w:hAnsi="Times New Roman" w:cs="Times New Roman"/>
                <w:sz w:val="20"/>
                <w:szCs w:val="20"/>
              </w:rPr>
              <w:t>≤25% of individuals in the parcel are affected by signs of stress including poor hydration and/or severe insect predation. Few patches of bare ground, dead/dying container plants, and/or invasive plant species are present.</w:t>
            </w:r>
          </w:p>
          <w:p w14:paraId="3EE8ECFF" w14:textId="77777777" w:rsidR="00D30ECA" w:rsidRPr="00B742A3" w:rsidRDefault="00D30ECA" w:rsidP="00D30ECA">
            <w:pPr>
              <w:spacing w:line="276" w:lineRule="auto"/>
              <w:rPr>
                <w:rFonts w:ascii="Times New Roman" w:hAnsi="Times New Roman" w:cs="Times New Roman"/>
                <w:sz w:val="20"/>
                <w:szCs w:val="20"/>
              </w:rPr>
            </w:pPr>
          </w:p>
        </w:tc>
      </w:tr>
      <w:tr w:rsidR="00D30ECA" w14:paraId="3B3863E2" w14:textId="77777777" w:rsidTr="003B46DF">
        <w:trPr>
          <w:jc w:val="center"/>
        </w:trPr>
        <w:tc>
          <w:tcPr>
            <w:tcW w:w="2155" w:type="dxa"/>
          </w:tcPr>
          <w:p w14:paraId="7EEFE416" w14:textId="77777777" w:rsidR="00D30ECA" w:rsidRPr="005235E5" w:rsidRDefault="00D30ECA" w:rsidP="00D30ECA">
            <w:pPr>
              <w:pStyle w:val="ListParagraph"/>
              <w:numPr>
                <w:ilvl w:val="0"/>
                <w:numId w:val="1"/>
              </w:numPr>
              <w:spacing w:line="276" w:lineRule="auto"/>
              <w:rPr>
                <w:rFonts w:ascii="Times New Roman" w:hAnsi="Times New Roman" w:cs="Times New Roman"/>
              </w:rPr>
            </w:pPr>
            <w:r>
              <w:rPr>
                <w:rFonts w:ascii="Times New Roman" w:hAnsi="Times New Roman" w:cs="Times New Roman"/>
              </w:rPr>
              <w:t>Good</w:t>
            </w:r>
          </w:p>
        </w:tc>
        <w:tc>
          <w:tcPr>
            <w:tcW w:w="7195" w:type="dxa"/>
          </w:tcPr>
          <w:p w14:paraId="540E1494" w14:textId="77777777" w:rsidR="00D30ECA" w:rsidRPr="00B742A3" w:rsidRDefault="00D30ECA" w:rsidP="00D30ECA">
            <w:pPr>
              <w:spacing w:line="276" w:lineRule="auto"/>
              <w:rPr>
                <w:rFonts w:ascii="Times New Roman" w:hAnsi="Times New Roman" w:cs="Times New Roman"/>
                <w:sz w:val="20"/>
                <w:szCs w:val="20"/>
              </w:rPr>
            </w:pPr>
            <w:r w:rsidRPr="00B742A3">
              <w:rPr>
                <w:rFonts w:ascii="Times New Roman" w:hAnsi="Times New Roman" w:cs="Times New Roman"/>
                <w:sz w:val="20"/>
                <w:szCs w:val="20"/>
              </w:rPr>
              <w:t>25% to 50% of individuals in the parcel were affected by signs of stress, including poor hydration and/or severe insect predation. Minimal amounts of bare ground, dead/dying container plants, and/or invasive plant species are present.</w:t>
            </w:r>
          </w:p>
        </w:tc>
      </w:tr>
      <w:tr w:rsidR="00D30ECA" w14:paraId="3AAE4F66" w14:textId="77777777" w:rsidTr="003B46DF">
        <w:trPr>
          <w:jc w:val="center"/>
        </w:trPr>
        <w:tc>
          <w:tcPr>
            <w:tcW w:w="2155" w:type="dxa"/>
          </w:tcPr>
          <w:p w14:paraId="7D5CA113" w14:textId="77777777" w:rsidR="00D30ECA" w:rsidRPr="005235E5" w:rsidRDefault="00D30ECA" w:rsidP="00D30ECA">
            <w:pPr>
              <w:pStyle w:val="ListParagraph"/>
              <w:numPr>
                <w:ilvl w:val="0"/>
                <w:numId w:val="1"/>
              </w:numPr>
              <w:spacing w:line="276" w:lineRule="auto"/>
              <w:rPr>
                <w:rFonts w:ascii="Times New Roman" w:hAnsi="Times New Roman" w:cs="Times New Roman"/>
              </w:rPr>
            </w:pPr>
            <w:r>
              <w:rPr>
                <w:rFonts w:ascii="Times New Roman" w:hAnsi="Times New Roman" w:cs="Times New Roman"/>
              </w:rPr>
              <w:t>Fair</w:t>
            </w:r>
          </w:p>
        </w:tc>
        <w:tc>
          <w:tcPr>
            <w:tcW w:w="7195" w:type="dxa"/>
          </w:tcPr>
          <w:p w14:paraId="659C5D25" w14:textId="77777777" w:rsidR="00D30ECA" w:rsidRPr="00B742A3" w:rsidRDefault="00D30ECA" w:rsidP="00D30ECA">
            <w:pPr>
              <w:widowControl w:val="0"/>
              <w:tabs>
                <w:tab w:val="left" w:pos="1560"/>
              </w:tabs>
              <w:suppressAutoHyphens/>
              <w:autoSpaceDE w:val="0"/>
              <w:autoSpaceDN w:val="0"/>
              <w:spacing w:before="78" w:line="276" w:lineRule="auto"/>
              <w:ind w:right="1002"/>
              <w:jc w:val="both"/>
              <w:rPr>
                <w:rFonts w:ascii="Times New Roman" w:eastAsia="Calibri" w:hAnsi="Times New Roman" w:cs="Times New Roman"/>
                <w:sz w:val="20"/>
                <w:szCs w:val="20"/>
              </w:rPr>
            </w:pPr>
            <w:r w:rsidRPr="00B742A3">
              <w:rPr>
                <w:rFonts w:ascii="Times New Roman" w:eastAsia="Calibri" w:hAnsi="Times New Roman" w:cs="Times New Roman"/>
                <w:sz w:val="20"/>
                <w:szCs w:val="20"/>
              </w:rPr>
              <w:t>50%</w:t>
            </w:r>
            <w:r w:rsidRPr="00B742A3">
              <w:rPr>
                <w:rFonts w:ascii="Times New Roman" w:eastAsia="Calibri" w:hAnsi="Times New Roman" w:cs="Times New Roman"/>
                <w:spacing w:val="-3"/>
                <w:sz w:val="20"/>
                <w:szCs w:val="20"/>
              </w:rPr>
              <w:t xml:space="preserve"> </w:t>
            </w:r>
            <w:r w:rsidRPr="00B742A3">
              <w:rPr>
                <w:rFonts w:ascii="Times New Roman" w:eastAsia="Calibri" w:hAnsi="Times New Roman" w:cs="Times New Roman"/>
                <w:sz w:val="20"/>
                <w:szCs w:val="20"/>
              </w:rPr>
              <w:t>to</w:t>
            </w:r>
            <w:r w:rsidRPr="00B742A3">
              <w:rPr>
                <w:rFonts w:ascii="Times New Roman" w:eastAsia="Calibri" w:hAnsi="Times New Roman" w:cs="Times New Roman"/>
                <w:spacing w:val="-5"/>
                <w:sz w:val="20"/>
                <w:szCs w:val="20"/>
              </w:rPr>
              <w:t xml:space="preserve"> </w:t>
            </w:r>
            <w:r w:rsidRPr="00B742A3">
              <w:rPr>
                <w:rFonts w:ascii="Times New Roman" w:eastAsia="Calibri" w:hAnsi="Times New Roman" w:cs="Times New Roman"/>
                <w:sz w:val="20"/>
                <w:szCs w:val="20"/>
              </w:rPr>
              <w:t>75%</w:t>
            </w:r>
            <w:r w:rsidRPr="00B742A3">
              <w:rPr>
                <w:rFonts w:ascii="Times New Roman" w:eastAsia="Calibri" w:hAnsi="Times New Roman" w:cs="Times New Roman"/>
                <w:spacing w:val="-3"/>
                <w:sz w:val="20"/>
                <w:szCs w:val="20"/>
              </w:rPr>
              <w:t xml:space="preserve"> </w:t>
            </w:r>
            <w:r w:rsidRPr="00B742A3">
              <w:rPr>
                <w:rFonts w:ascii="Times New Roman" w:eastAsia="Calibri" w:hAnsi="Times New Roman" w:cs="Times New Roman"/>
                <w:sz w:val="20"/>
                <w:szCs w:val="20"/>
              </w:rPr>
              <w:t>of</w:t>
            </w:r>
            <w:r w:rsidRPr="00B742A3">
              <w:rPr>
                <w:rFonts w:ascii="Times New Roman" w:eastAsia="Calibri" w:hAnsi="Times New Roman" w:cs="Times New Roman"/>
                <w:spacing w:val="-3"/>
                <w:sz w:val="20"/>
                <w:szCs w:val="20"/>
              </w:rPr>
              <w:t xml:space="preserve"> </w:t>
            </w:r>
            <w:r w:rsidRPr="00B742A3">
              <w:rPr>
                <w:rFonts w:ascii="Times New Roman" w:eastAsia="Calibri" w:hAnsi="Times New Roman" w:cs="Times New Roman"/>
                <w:sz w:val="20"/>
                <w:szCs w:val="20"/>
              </w:rPr>
              <w:t>individuals</w:t>
            </w:r>
            <w:r w:rsidRPr="00B742A3">
              <w:rPr>
                <w:rFonts w:ascii="Times New Roman" w:eastAsia="Calibri" w:hAnsi="Times New Roman" w:cs="Times New Roman"/>
                <w:spacing w:val="-3"/>
                <w:sz w:val="20"/>
                <w:szCs w:val="20"/>
              </w:rPr>
              <w:t xml:space="preserve"> </w:t>
            </w:r>
            <w:r w:rsidRPr="00B742A3">
              <w:rPr>
                <w:rFonts w:ascii="Times New Roman" w:eastAsia="Calibri" w:hAnsi="Times New Roman" w:cs="Times New Roman"/>
                <w:sz w:val="20"/>
                <w:szCs w:val="20"/>
              </w:rPr>
              <w:t>in</w:t>
            </w:r>
            <w:r w:rsidRPr="00B742A3">
              <w:rPr>
                <w:rFonts w:ascii="Times New Roman" w:eastAsia="Calibri" w:hAnsi="Times New Roman" w:cs="Times New Roman"/>
                <w:spacing w:val="-4"/>
                <w:sz w:val="20"/>
                <w:szCs w:val="20"/>
              </w:rPr>
              <w:t xml:space="preserve"> </w:t>
            </w:r>
            <w:r w:rsidRPr="00B742A3">
              <w:rPr>
                <w:rFonts w:ascii="Times New Roman" w:eastAsia="Calibri" w:hAnsi="Times New Roman" w:cs="Times New Roman"/>
                <w:sz w:val="20"/>
                <w:szCs w:val="20"/>
              </w:rPr>
              <w:t>the</w:t>
            </w:r>
            <w:r w:rsidRPr="00B742A3">
              <w:rPr>
                <w:rFonts w:ascii="Times New Roman" w:eastAsia="Calibri" w:hAnsi="Times New Roman" w:cs="Times New Roman"/>
                <w:spacing w:val="-3"/>
                <w:sz w:val="20"/>
                <w:szCs w:val="20"/>
              </w:rPr>
              <w:t xml:space="preserve"> </w:t>
            </w:r>
            <w:r w:rsidRPr="00B742A3">
              <w:rPr>
                <w:rFonts w:ascii="Times New Roman" w:eastAsia="Calibri" w:hAnsi="Times New Roman" w:cs="Times New Roman"/>
                <w:sz w:val="20"/>
                <w:szCs w:val="20"/>
              </w:rPr>
              <w:t>parcel were affected</w:t>
            </w:r>
            <w:r w:rsidRPr="00B742A3">
              <w:rPr>
                <w:rFonts w:ascii="Times New Roman" w:eastAsia="Calibri" w:hAnsi="Times New Roman" w:cs="Times New Roman"/>
                <w:spacing w:val="-4"/>
                <w:sz w:val="20"/>
                <w:szCs w:val="20"/>
              </w:rPr>
              <w:t xml:space="preserve"> </w:t>
            </w:r>
            <w:r w:rsidRPr="00B742A3">
              <w:rPr>
                <w:rFonts w:ascii="Times New Roman" w:eastAsia="Calibri" w:hAnsi="Times New Roman" w:cs="Times New Roman"/>
                <w:sz w:val="20"/>
                <w:szCs w:val="20"/>
              </w:rPr>
              <w:t>by signs</w:t>
            </w:r>
            <w:r w:rsidRPr="00B742A3">
              <w:rPr>
                <w:rFonts w:ascii="Times New Roman" w:eastAsia="Calibri" w:hAnsi="Times New Roman" w:cs="Times New Roman"/>
                <w:spacing w:val="-3"/>
                <w:sz w:val="20"/>
                <w:szCs w:val="20"/>
              </w:rPr>
              <w:t xml:space="preserve"> </w:t>
            </w:r>
            <w:r w:rsidRPr="00B742A3">
              <w:rPr>
                <w:rFonts w:ascii="Times New Roman" w:eastAsia="Calibri" w:hAnsi="Times New Roman" w:cs="Times New Roman"/>
                <w:sz w:val="20"/>
                <w:szCs w:val="20"/>
              </w:rPr>
              <w:t>of</w:t>
            </w:r>
            <w:r w:rsidRPr="00B742A3">
              <w:rPr>
                <w:rFonts w:ascii="Times New Roman" w:eastAsia="Calibri" w:hAnsi="Times New Roman" w:cs="Times New Roman"/>
                <w:spacing w:val="-3"/>
                <w:sz w:val="20"/>
                <w:szCs w:val="20"/>
              </w:rPr>
              <w:t xml:space="preserve"> </w:t>
            </w:r>
            <w:r w:rsidRPr="00B742A3">
              <w:rPr>
                <w:rFonts w:ascii="Times New Roman" w:eastAsia="Calibri" w:hAnsi="Times New Roman" w:cs="Times New Roman"/>
                <w:sz w:val="20"/>
                <w:szCs w:val="20"/>
              </w:rPr>
              <w:t>stress</w:t>
            </w:r>
            <w:r w:rsidRPr="00B742A3">
              <w:rPr>
                <w:rFonts w:ascii="Times New Roman" w:eastAsia="Calibri" w:hAnsi="Times New Roman" w:cs="Times New Roman"/>
                <w:spacing w:val="-3"/>
                <w:sz w:val="20"/>
                <w:szCs w:val="20"/>
              </w:rPr>
              <w:t xml:space="preserve"> </w:t>
            </w:r>
            <w:r w:rsidRPr="00B742A3">
              <w:rPr>
                <w:rFonts w:ascii="Times New Roman" w:eastAsia="Calibri" w:hAnsi="Times New Roman" w:cs="Times New Roman"/>
                <w:sz w:val="20"/>
                <w:szCs w:val="20"/>
              </w:rPr>
              <w:t>including poor hydration and/or severe insect predation. Moderate sized patches of bare ground, dead/dying container plants, and/or invasive plant species are present.</w:t>
            </w:r>
          </w:p>
        </w:tc>
      </w:tr>
      <w:tr w:rsidR="00D30ECA" w14:paraId="46D6DCA1" w14:textId="77777777" w:rsidTr="003B46DF">
        <w:trPr>
          <w:jc w:val="center"/>
        </w:trPr>
        <w:tc>
          <w:tcPr>
            <w:tcW w:w="2155" w:type="dxa"/>
          </w:tcPr>
          <w:p w14:paraId="4C28D8AA" w14:textId="77777777" w:rsidR="00D30ECA" w:rsidRPr="005235E5" w:rsidRDefault="00D30ECA" w:rsidP="00D30ECA">
            <w:pPr>
              <w:pStyle w:val="ListParagraph"/>
              <w:numPr>
                <w:ilvl w:val="0"/>
                <w:numId w:val="1"/>
              </w:numPr>
              <w:spacing w:line="276" w:lineRule="auto"/>
              <w:rPr>
                <w:rFonts w:ascii="Times New Roman" w:hAnsi="Times New Roman" w:cs="Times New Roman"/>
              </w:rPr>
            </w:pPr>
            <w:r>
              <w:rPr>
                <w:rFonts w:ascii="Times New Roman" w:hAnsi="Times New Roman" w:cs="Times New Roman"/>
              </w:rPr>
              <w:t>Poor</w:t>
            </w:r>
          </w:p>
        </w:tc>
        <w:tc>
          <w:tcPr>
            <w:tcW w:w="7195" w:type="dxa"/>
          </w:tcPr>
          <w:p w14:paraId="560CDF14" w14:textId="77777777" w:rsidR="00D30ECA" w:rsidRPr="00B742A3" w:rsidRDefault="00D30ECA" w:rsidP="00D30ECA">
            <w:pPr>
              <w:widowControl w:val="0"/>
              <w:tabs>
                <w:tab w:val="left" w:pos="1560"/>
              </w:tabs>
              <w:suppressAutoHyphens/>
              <w:autoSpaceDE w:val="0"/>
              <w:autoSpaceDN w:val="0"/>
              <w:spacing w:before="182" w:line="276" w:lineRule="auto"/>
              <w:ind w:right="1002"/>
              <w:jc w:val="both"/>
              <w:rPr>
                <w:rFonts w:ascii="Times New Roman" w:eastAsia="Calibri" w:hAnsi="Times New Roman" w:cs="Times New Roman"/>
                <w:sz w:val="20"/>
                <w:szCs w:val="20"/>
              </w:rPr>
            </w:pPr>
            <w:r w:rsidRPr="00B742A3">
              <w:rPr>
                <w:rFonts w:ascii="Times New Roman" w:eastAsia="Calibri" w:hAnsi="Times New Roman" w:cs="Times New Roman"/>
                <w:sz w:val="20"/>
                <w:szCs w:val="20"/>
              </w:rPr>
              <w:t>≥75%</w:t>
            </w:r>
            <w:r w:rsidRPr="00B742A3">
              <w:rPr>
                <w:rFonts w:ascii="Times New Roman" w:eastAsia="Calibri" w:hAnsi="Times New Roman" w:cs="Times New Roman"/>
                <w:spacing w:val="-12"/>
                <w:sz w:val="20"/>
                <w:szCs w:val="20"/>
              </w:rPr>
              <w:t xml:space="preserve"> </w:t>
            </w:r>
            <w:r w:rsidRPr="00B742A3">
              <w:rPr>
                <w:rFonts w:ascii="Times New Roman" w:eastAsia="Calibri" w:hAnsi="Times New Roman" w:cs="Times New Roman"/>
                <w:sz w:val="20"/>
                <w:szCs w:val="20"/>
              </w:rPr>
              <w:t>of</w:t>
            </w:r>
            <w:r w:rsidRPr="00B742A3">
              <w:rPr>
                <w:rFonts w:ascii="Times New Roman" w:eastAsia="Calibri" w:hAnsi="Times New Roman" w:cs="Times New Roman"/>
                <w:spacing w:val="-12"/>
                <w:sz w:val="20"/>
                <w:szCs w:val="20"/>
              </w:rPr>
              <w:t xml:space="preserve"> </w:t>
            </w:r>
            <w:r w:rsidRPr="00B742A3">
              <w:rPr>
                <w:rFonts w:ascii="Times New Roman" w:eastAsia="Calibri" w:hAnsi="Times New Roman" w:cs="Times New Roman"/>
                <w:sz w:val="20"/>
                <w:szCs w:val="20"/>
              </w:rPr>
              <w:t>individuals</w:t>
            </w:r>
            <w:r w:rsidRPr="00B742A3">
              <w:rPr>
                <w:rFonts w:ascii="Times New Roman" w:eastAsia="Calibri" w:hAnsi="Times New Roman" w:cs="Times New Roman"/>
                <w:spacing w:val="-12"/>
                <w:sz w:val="20"/>
                <w:szCs w:val="20"/>
              </w:rPr>
              <w:t xml:space="preserve"> </w:t>
            </w:r>
            <w:r w:rsidRPr="00B742A3">
              <w:rPr>
                <w:rFonts w:ascii="Times New Roman" w:eastAsia="Calibri" w:hAnsi="Times New Roman" w:cs="Times New Roman"/>
                <w:sz w:val="20"/>
                <w:szCs w:val="20"/>
              </w:rPr>
              <w:t>in</w:t>
            </w:r>
            <w:r w:rsidRPr="00B742A3">
              <w:rPr>
                <w:rFonts w:ascii="Times New Roman" w:eastAsia="Calibri" w:hAnsi="Times New Roman" w:cs="Times New Roman"/>
                <w:spacing w:val="-12"/>
                <w:sz w:val="20"/>
                <w:szCs w:val="20"/>
              </w:rPr>
              <w:t xml:space="preserve"> </w:t>
            </w:r>
            <w:r w:rsidRPr="00B742A3">
              <w:rPr>
                <w:rFonts w:ascii="Times New Roman" w:eastAsia="Calibri" w:hAnsi="Times New Roman" w:cs="Times New Roman"/>
                <w:sz w:val="20"/>
                <w:szCs w:val="20"/>
              </w:rPr>
              <w:t>the</w:t>
            </w:r>
            <w:r w:rsidRPr="00B742A3">
              <w:rPr>
                <w:rFonts w:ascii="Times New Roman" w:eastAsia="Calibri" w:hAnsi="Times New Roman" w:cs="Times New Roman"/>
                <w:spacing w:val="-12"/>
                <w:sz w:val="20"/>
                <w:szCs w:val="20"/>
              </w:rPr>
              <w:t xml:space="preserve"> </w:t>
            </w:r>
            <w:r w:rsidRPr="00B742A3">
              <w:rPr>
                <w:rFonts w:ascii="Times New Roman" w:eastAsia="Calibri" w:hAnsi="Times New Roman" w:cs="Times New Roman"/>
                <w:sz w:val="20"/>
                <w:szCs w:val="20"/>
              </w:rPr>
              <w:t>parcel</w:t>
            </w:r>
            <w:r w:rsidRPr="00B742A3">
              <w:rPr>
                <w:rFonts w:ascii="Times New Roman" w:eastAsia="Calibri" w:hAnsi="Times New Roman" w:cs="Times New Roman"/>
                <w:spacing w:val="-12"/>
                <w:sz w:val="20"/>
                <w:szCs w:val="20"/>
              </w:rPr>
              <w:t xml:space="preserve"> </w:t>
            </w:r>
            <w:r w:rsidRPr="00B742A3">
              <w:rPr>
                <w:rFonts w:ascii="Times New Roman" w:eastAsia="Calibri" w:hAnsi="Times New Roman" w:cs="Times New Roman"/>
                <w:sz w:val="20"/>
                <w:szCs w:val="20"/>
              </w:rPr>
              <w:t>are</w:t>
            </w:r>
            <w:r w:rsidRPr="00B742A3">
              <w:rPr>
                <w:rFonts w:ascii="Times New Roman" w:eastAsia="Calibri" w:hAnsi="Times New Roman" w:cs="Times New Roman"/>
                <w:spacing w:val="-12"/>
                <w:sz w:val="20"/>
                <w:szCs w:val="20"/>
              </w:rPr>
              <w:t xml:space="preserve"> </w:t>
            </w:r>
            <w:r w:rsidRPr="00B742A3">
              <w:rPr>
                <w:rFonts w:ascii="Times New Roman" w:eastAsia="Calibri" w:hAnsi="Times New Roman" w:cs="Times New Roman"/>
                <w:sz w:val="20"/>
                <w:szCs w:val="20"/>
              </w:rPr>
              <w:t>dead</w:t>
            </w:r>
            <w:r w:rsidRPr="00B742A3">
              <w:rPr>
                <w:rFonts w:ascii="Times New Roman" w:eastAsia="Calibri" w:hAnsi="Times New Roman" w:cs="Times New Roman"/>
                <w:spacing w:val="-12"/>
                <w:sz w:val="20"/>
                <w:szCs w:val="20"/>
              </w:rPr>
              <w:t xml:space="preserve"> </w:t>
            </w:r>
            <w:r w:rsidRPr="00B742A3">
              <w:rPr>
                <w:rFonts w:ascii="Times New Roman" w:eastAsia="Calibri" w:hAnsi="Times New Roman" w:cs="Times New Roman"/>
                <w:sz w:val="20"/>
                <w:szCs w:val="20"/>
              </w:rPr>
              <w:t>or</w:t>
            </w:r>
            <w:r w:rsidRPr="00B742A3">
              <w:rPr>
                <w:rFonts w:ascii="Times New Roman" w:eastAsia="Calibri" w:hAnsi="Times New Roman" w:cs="Times New Roman"/>
                <w:spacing w:val="-12"/>
                <w:sz w:val="20"/>
                <w:szCs w:val="20"/>
              </w:rPr>
              <w:t xml:space="preserve"> </w:t>
            </w:r>
            <w:r w:rsidRPr="00B742A3">
              <w:rPr>
                <w:rFonts w:ascii="Times New Roman" w:eastAsia="Calibri" w:hAnsi="Times New Roman" w:cs="Times New Roman"/>
                <w:sz w:val="20"/>
                <w:szCs w:val="20"/>
              </w:rPr>
              <w:t>dying,</w:t>
            </w:r>
            <w:r w:rsidRPr="00B742A3">
              <w:rPr>
                <w:rFonts w:ascii="Times New Roman" w:eastAsia="Calibri" w:hAnsi="Times New Roman" w:cs="Times New Roman"/>
                <w:spacing w:val="-12"/>
                <w:sz w:val="20"/>
                <w:szCs w:val="20"/>
              </w:rPr>
              <w:t xml:space="preserve"> </w:t>
            </w:r>
            <w:r w:rsidRPr="00B742A3">
              <w:rPr>
                <w:rFonts w:ascii="Times New Roman" w:eastAsia="Calibri" w:hAnsi="Times New Roman" w:cs="Times New Roman"/>
                <w:sz w:val="20"/>
                <w:szCs w:val="20"/>
              </w:rPr>
              <w:t>with</w:t>
            </w:r>
            <w:r w:rsidRPr="00B742A3">
              <w:rPr>
                <w:rFonts w:ascii="Times New Roman" w:eastAsia="Calibri" w:hAnsi="Times New Roman" w:cs="Times New Roman"/>
                <w:spacing w:val="-12"/>
                <w:sz w:val="20"/>
                <w:szCs w:val="20"/>
              </w:rPr>
              <w:t xml:space="preserve"> </w:t>
            </w:r>
            <w:r w:rsidRPr="00B742A3">
              <w:rPr>
                <w:rFonts w:ascii="Times New Roman" w:eastAsia="Calibri" w:hAnsi="Times New Roman" w:cs="Times New Roman"/>
                <w:sz w:val="20"/>
                <w:szCs w:val="20"/>
              </w:rPr>
              <w:t>signs</w:t>
            </w:r>
            <w:r w:rsidRPr="00B742A3">
              <w:rPr>
                <w:rFonts w:ascii="Times New Roman" w:eastAsia="Calibri" w:hAnsi="Times New Roman" w:cs="Times New Roman"/>
                <w:spacing w:val="-12"/>
                <w:sz w:val="20"/>
                <w:szCs w:val="20"/>
              </w:rPr>
              <w:t xml:space="preserve"> </w:t>
            </w:r>
            <w:r w:rsidRPr="00B742A3">
              <w:rPr>
                <w:rFonts w:ascii="Times New Roman" w:eastAsia="Calibri" w:hAnsi="Times New Roman" w:cs="Times New Roman"/>
                <w:sz w:val="20"/>
                <w:szCs w:val="20"/>
              </w:rPr>
              <w:t>of</w:t>
            </w:r>
            <w:r w:rsidRPr="00B742A3">
              <w:rPr>
                <w:rFonts w:ascii="Times New Roman" w:eastAsia="Calibri" w:hAnsi="Times New Roman" w:cs="Times New Roman"/>
                <w:spacing w:val="-12"/>
                <w:sz w:val="20"/>
                <w:szCs w:val="20"/>
              </w:rPr>
              <w:t xml:space="preserve"> </w:t>
            </w:r>
            <w:r w:rsidRPr="00B742A3">
              <w:rPr>
                <w:rFonts w:ascii="Times New Roman" w:eastAsia="Calibri" w:hAnsi="Times New Roman" w:cs="Times New Roman"/>
                <w:sz w:val="20"/>
                <w:szCs w:val="20"/>
              </w:rPr>
              <w:t>stress</w:t>
            </w:r>
            <w:r w:rsidRPr="00B742A3">
              <w:rPr>
                <w:rFonts w:ascii="Times New Roman" w:eastAsia="Calibri" w:hAnsi="Times New Roman" w:cs="Times New Roman"/>
                <w:spacing w:val="-12"/>
                <w:sz w:val="20"/>
                <w:szCs w:val="20"/>
              </w:rPr>
              <w:t xml:space="preserve"> </w:t>
            </w:r>
            <w:r w:rsidRPr="00B742A3">
              <w:rPr>
                <w:rFonts w:ascii="Times New Roman" w:eastAsia="Calibri" w:hAnsi="Times New Roman" w:cs="Times New Roman"/>
                <w:sz w:val="20"/>
                <w:szCs w:val="20"/>
              </w:rPr>
              <w:t>such as poor hydration and/or severe insect predation. Large patches of bare ground, dead/dying container plants, and/or invasive plant species are present.</w:t>
            </w:r>
          </w:p>
        </w:tc>
      </w:tr>
    </w:tbl>
    <w:p w14:paraId="3BDAE893" w14:textId="77777777" w:rsidR="00D30ECA" w:rsidRDefault="00D30ECA" w:rsidP="00D30ECA">
      <w:pPr>
        <w:spacing w:line="276" w:lineRule="auto"/>
        <w:ind w:left="720"/>
        <w:rPr>
          <w:rFonts w:ascii="Times New Roman" w:hAnsi="Times New Roman" w:cs="Times New Roman"/>
        </w:rPr>
      </w:pPr>
      <w:r w:rsidRPr="0052390B">
        <w:rPr>
          <w:rFonts w:ascii="Times New Roman" w:hAnsi="Times New Roman" w:cs="Times New Roman"/>
          <w:b/>
          <w:bCs/>
        </w:rPr>
        <w:t>Table 2.</w:t>
      </w:r>
      <w:r>
        <w:rPr>
          <w:rFonts w:ascii="Times New Roman" w:hAnsi="Times New Roman" w:cs="Times New Roman"/>
        </w:rPr>
        <w:t xml:space="preserve"> The criteria for vegetation health condition. This criterion was established by the San Bernadino County Department of Public Works.</w:t>
      </w:r>
    </w:p>
    <w:p w14:paraId="1D09E938" w14:textId="77777777" w:rsidR="002A3092" w:rsidRPr="002A3092" w:rsidRDefault="002A3092" w:rsidP="002A3092">
      <w:pPr>
        <w:spacing w:line="276" w:lineRule="auto"/>
        <w:ind w:left="720"/>
        <w:rPr>
          <w:rFonts w:ascii="Times New Roman" w:hAnsi="Times New Roman" w:cs="Times New Roman"/>
        </w:rPr>
      </w:pPr>
      <w:r w:rsidRPr="002A3092">
        <w:rPr>
          <w:rFonts w:ascii="Times New Roman" w:hAnsi="Times New Roman" w:cs="Times New Roman"/>
        </w:rPr>
        <w:lastRenderedPageBreak/>
        <w:drawing>
          <wp:inline distT="0" distB="0" distL="0" distR="0" wp14:anchorId="0973E5CC" wp14:editId="3E438C17">
            <wp:extent cx="5473700" cy="5397500"/>
            <wp:effectExtent l="0" t="0" r="0" b="0"/>
            <wp:docPr id="684357656" name="Picture 2" descr="Diagram,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57656" name="Picture 2" descr="Diagram,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473700" cy="5397500"/>
                    </a:xfrm>
                    <a:prstGeom prst="rect">
                      <a:avLst/>
                    </a:prstGeom>
                  </pic:spPr>
                </pic:pic>
              </a:graphicData>
            </a:graphic>
          </wp:inline>
        </w:drawing>
      </w:r>
    </w:p>
    <w:p w14:paraId="1685D2A5" w14:textId="1EBF29FC" w:rsidR="002A3092" w:rsidRDefault="002A3092" w:rsidP="002A3092">
      <w:pPr>
        <w:spacing w:line="276" w:lineRule="auto"/>
        <w:ind w:left="720"/>
        <w:rPr>
          <w:rFonts w:ascii="Times New Roman" w:hAnsi="Times New Roman" w:cs="Times New Roman"/>
        </w:rPr>
      </w:pPr>
      <w:r w:rsidRPr="002A3092">
        <w:rPr>
          <w:rFonts w:ascii="Times New Roman" w:hAnsi="Times New Roman" w:cs="Times New Roman"/>
          <w:b/>
          <w:bCs/>
        </w:rPr>
        <w:t>Figure 6.</w:t>
      </w:r>
      <w:r w:rsidRPr="002A3092">
        <w:rPr>
          <w:rFonts w:ascii="Times New Roman" w:hAnsi="Times New Roman" w:cs="Times New Roman"/>
        </w:rPr>
        <w:t xml:space="preserve"> Survey Methodology Process Diagram. </w:t>
      </w:r>
    </w:p>
    <w:p w14:paraId="763F4F84" w14:textId="6010D887" w:rsidR="007F2FEE" w:rsidRDefault="007F2FEE" w:rsidP="007F2FEE">
      <w:pPr>
        <w:spacing w:line="276" w:lineRule="auto"/>
        <w:rPr>
          <w:rFonts w:ascii="Times New Roman" w:hAnsi="Times New Roman" w:cs="Times New Roman"/>
        </w:rPr>
      </w:pPr>
      <w:r>
        <w:rPr>
          <w:rFonts w:ascii="Times New Roman" w:hAnsi="Times New Roman" w:cs="Times New Roman"/>
        </w:rPr>
        <w:t>Results:</w:t>
      </w:r>
    </w:p>
    <w:p w14:paraId="11D28AAD" w14:textId="77777777" w:rsidR="007F2FEE" w:rsidRPr="007F2FEE" w:rsidRDefault="007F2FEE" w:rsidP="007F2FEE">
      <w:pPr>
        <w:spacing w:line="276" w:lineRule="auto"/>
        <w:rPr>
          <w:rFonts w:ascii="Times New Roman" w:hAnsi="Times New Roman" w:cs="Times New Roman"/>
        </w:rPr>
      </w:pPr>
      <w:r w:rsidRPr="007F2FEE">
        <w:rPr>
          <w:rFonts w:ascii="Times New Roman" w:hAnsi="Times New Roman" w:cs="Times New Roman"/>
        </w:rPr>
        <w:t>Across all three surveys 4 of 5 sites maintained a percentage native plant cover above the 70% threshold required by the project. The Quarter 2 survey saw a native ground cover percentage of 80% in Mitigation Site 1, 90% in Mitigation site 2, 80% in Mitigation Site 3, 85% in Mitigation Site 4, and 60% in Mitigation Site 5. The average native ground cover for the Quarter 2 survey is 81.23% with a standard deviation of 10.69%. The Quarter 2 Survey technically occurred at the beginning of Quarter 3 (August 6</w:t>
      </w:r>
      <w:r w:rsidRPr="007F2FEE">
        <w:rPr>
          <w:rFonts w:ascii="Times New Roman" w:hAnsi="Times New Roman" w:cs="Times New Roman"/>
          <w:vertAlign w:val="superscript"/>
        </w:rPr>
        <w:t>th</w:t>
      </w:r>
      <w:r w:rsidRPr="007F2FEE">
        <w:rPr>
          <w:rFonts w:ascii="Times New Roman" w:hAnsi="Times New Roman" w:cs="Times New Roman"/>
        </w:rPr>
        <w:t xml:space="preserve"> and 7</w:t>
      </w:r>
      <w:r w:rsidRPr="007F2FEE">
        <w:rPr>
          <w:rFonts w:ascii="Times New Roman" w:hAnsi="Times New Roman" w:cs="Times New Roman"/>
          <w:vertAlign w:val="superscript"/>
        </w:rPr>
        <w:t>th</w:t>
      </w:r>
      <w:r w:rsidRPr="007F2FEE">
        <w:rPr>
          <w:rFonts w:ascii="Times New Roman" w:hAnsi="Times New Roman" w:cs="Times New Roman"/>
        </w:rPr>
        <w:t>, 2025). This was requested by San Bernadino County due to a lack of a survey from April to July. All species observed in mitigation area are listed below (Table 5).</w:t>
      </w:r>
    </w:p>
    <w:p w14:paraId="551EC279" w14:textId="3855E364" w:rsidR="007F2FEE" w:rsidRDefault="007F2FEE" w:rsidP="007F2FEE">
      <w:pPr>
        <w:spacing w:line="276" w:lineRule="auto"/>
        <w:rPr>
          <w:rFonts w:ascii="Times New Roman" w:hAnsi="Times New Roman" w:cs="Times New Roman"/>
        </w:rPr>
      </w:pPr>
      <w:r w:rsidRPr="007F2FEE">
        <w:rPr>
          <w:rFonts w:ascii="Times New Roman" w:hAnsi="Times New Roman" w:cs="Times New Roman"/>
        </w:rPr>
        <w:t xml:space="preserve">The Quarter 3 Survey saw a native ground cover of 80% in Mitigation Site 1, 100% in Mitigation Site 2, 80% in Mitigation Site 3, 85% in Mitigation site 4, and 60% in Mitigation Site 5.  The </w:t>
      </w:r>
      <w:r w:rsidRPr="007F2FEE">
        <w:rPr>
          <w:rFonts w:ascii="Times New Roman" w:hAnsi="Times New Roman" w:cs="Times New Roman"/>
        </w:rPr>
        <w:lastRenderedPageBreak/>
        <w:t>average native ground cover for the Quarter 3 survey is 84.29% with a standard deviation of 13.97%. The native vegetation cover from for all 5 sites was consistent across Quarter 2 and Quarter 3.</w:t>
      </w:r>
      <w:r>
        <w:rPr>
          <w:rFonts w:ascii="Times New Roman" w:hAnsi="Times New Roman" w:cs="Times New Roman"/>
        </w:rPr>
        <w:t xml:space="preserve"> </w:t>
      </w:r>
    </w:p>
    <w:p w14:paraId="304F3CF1" w14:textId="3AF8BC83" w:rsidR="007F2FEE" w:rsidRPr="007F2FEE" w:rsidRDefault="007F2FEE" w:rsidP="007F2FEE">
      <w:pPr>
        <w:spacing w:line="276" w:lineRule="auto"/>
        <w:rPr>
          <w:rFonts w:ascii="Times New Roman" w:hAnsi="Times New Roman" w:cs="Times New Roman"/>
        </w:rPr>
      </w:pPr>
      <w:r w:rsidRPr="007F2FEE">
        <w:rPr>
          <w:rFonts w:ascii="Times New Roman" w:hAnsi="Times New Roman" w:cs="Times New Roman"/>
        </w:rPr>
        <w:t>Each Mitigation site received a vegetation health condition classification at the time of each field survey. This classification is decided based on factors of ecosystem health such as drought stress, heat stress, native vegetation abundance, vegetation height, and soil condition. Criteria for each of vegetation health condition classification is listed in Table 2. Mitigation site 1 received a grade of “Good” in Quarter 2, and “Excellent” in Quarter 3 and Quarter 4. Mitigation site 2 received a grade of “Excellent” across Quarter 2, Quarter 3, and Quarter 4. Mitigation site 3 received a grade of “Excellent” in Quarter 2, “Good” in Quarter 3, and “Excellent” in Quarter 4. Mitigation Site 4 received a grade of “Excellent” in Quarter 2, Quarter 3, and Quarter 4. Mitigation Site 5 received a grade of “Good” in Quarter 2, Quarter 3, and Quarter 4. This information is compiled and presented visually in Table 4.</w:t>
      </w:r>
    </w:p>
    <w:tbl>
      <w:tblPr>
        <w:tblW w:w="9175" w:type="dxa"/>
        <w:jc w:val="center"/>
        <w:tblLook w:val="04A0" w:firstRow="1" w:lastRow="0" w:firstColumn="1" w:lastColumn="0" w:noHBand="0" w:noVBand="1"/>
      </w:tblPr>
      <w:tblGrid>
        <w:gridCol w:w="990"/>
        <w:gridCol w:w="720"/>
        <w:gridCol w:w="720"/>
        <w:gridCol w:w="630"/>
        <w:gridCol w:w="1054"/>
        <w:gridCol w:w="1027"/>
        <w:gridCol w:w="1080"/>
        <w:gridCol w:w="1260"/>
        <w:gridCol w:w="614"/>
        <w:gridCol w:w="1080"/>
      </w:tblGrid>
      <w:tr w:rsidR="007F2FEE" w:rsidRPr="006A6789" w14:paraId="596869F1" w14:textId="77777777" w:rsidTr="003B46DF">
        <w:trPr>
          <w:trHeight w:val="300"/>
          <w:jc w:val="center"/>
        </w:trPr>
        <w:tc>
          <w:tcPr>
            <w:tcW w:w="9175" w:type="dxa"/>
            <w:gridSpan w:val="10"/>
            <w:tcBorders>
              <w:top w:val="single" w:sz="4" w:space="0" w:color="auto"/>
              <w:left w:val="single" w:sz="4" w:space="0" w:color="auto"/>
              <w:bottom w:val="single" w:sz="4" w:space="0" w:color="auto"/>
              <w:right w:val="single" w:sz="4" w:space="0" w:color="000000"/>
            </w:tcBorders>
            <w:noWrap/>
            <w:vAlign w:val="bottom"/>
            <w:hideMark/>
          </w:tcPr>
          <w:p w14:paraId="2E8257A0" w14:textId="77777777" w:rsidR="007F2FEE" w:rsidRPr="006A6789" w:rsidRDefault="007F2FEE" w:rsidP="003B46DF">
            <w:pPr>
              <w:spacing w:after="0" w:line="240" w:lineRule="auto"/>
              <w:jc w:val="center"/>
              <w:rPr>
                <w:rFonts w:ascii="Aptos Narrow" w:eastAsia="Times New Roman" w:hAnsi="Aptos Narrow" w:cs="Times New Roman"/>
                <w:b/>
                <w:bCs/>
                <w:color w:val="000000"/>
                <w:kern w:val="0"/>
                <w:sz w:val="22"/>
                <w:szCs w:val="22"/>
                <w:u w:val="single"/>
                <w14:ligatures w14:val="none"/>
              </w:rPr>
            </w:pPr>
            <w:r w:rsidRPr="006A6789">
              <w:rPr>
                <w:rFonts w:ascii="Aptos Narrow" w:eastAsia="Times New Roman" w:hAnsi="Aptos Narrow" w:cs="Times New Roman"/>
                <w:b/>
                <w:bCs/>
                <w:color w:val="000000"/>
                <w:kern w:val="0"/>
                <w:sz w:val="22"/>
                <w:szCs w:val="22"/>
                <w:u w:val="single"/>
                <w14:ligatures w14:val="none"/>
              </w:rPr>
              <w:t>Absolute Cover</w:t>
            </w:r>
          </w:p>
        </w:tc>
      </w:tr>
      <w:tr w:rsidR="007F2FEE" w:rsidRPr="006A6789" w14:paraId="68A0B9F1" w14:textId="77777777" w:rsidTr="003B46DF">
        <w:trPr>
          <w:trHeight w:val="300"/>
          <w:jc w:val="center"/>
        </w:trPr>
        <w:tc>
          <w:tcPr>
            <w:tcW w:w="990" w:type="dxa"/>
            <w:tcBorders>
              <w:top w:val="nil"/>
              <w:left w:val="single" w:sz="4" w:space="0" w:color="auto"/>
              <w:bottom w:val="single" w:sz="4" w:space="0" w:color="auto"/>
              <w:right w:val="single" w:sz="4" w:space="0" w:color="auto"/>
            </w:tcBorders>
            <w:shd w:val="clear" w:color="000000" w:fill="F79B80"/>
            <w:noWrap/>
            <w:vAlign w:val="bottom"/>
            <w:hideMark/>
          </w:tcPr>
          <w:p w14:paraId="15B53412"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Site 1</w:t>
            </w:r>
          </w:p>
        </w:tc>
        <w:tc>
          <w:tcPr>
            <w:tcW w:w="720" w:type="dxa"/>
            <w:tcBorders>
              <w:top w:val="nil"/>
              <w:left w:val="nil"/>
              <w:bottom w:val="single" w:sz="4" w:space="0" w:color="auto"/>
              <w:right w:val="single" w:sz="4" w:space="0" w:color="auto"/>
            </w:tcBorders>
            <w:shd w:val="clear" w:color="000000" w:fill="F79B80"/>
            <w:noWrap/>
            <w:vAlign w:val="bottom"/>
            <w:hideMark/>
          </w:tcPr>
          <w:p w14:paraId="639B5122"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Q2</w:t>
            </w:r>
          </w:p>
        </w:tc>
        <w:tc>
          <w:tcPr>
            <w:tcW w:w="720" w:type="dxa"/>
            <w:tcBorders>
              <w:top w:val="nil"/>
              <w:left w:val="nil"/>
              <w:bottom w:val="single" w:sz="4" w:space="0" w:color="auto"/>
              <w:right w:val="single" w:sz="4" w:space="0" w:color="auto"/>
            </w:tcBorders>
            <w:shd w:val="clear" w:color="000000" w:fill="F79B80"/>
            <w:noWrap/>
            <w:vAlign w:val="bottom"/>
            <w:hideMark/>
          </w:tcPr>
          <w:p w14:paraId="588460D6"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Q3</w:t>
            </w:r>
          </w:p>
        </w:tc>
        <w:tc>
          <w:tcPr>
            <w:tcW w:w="630" w:type="dxa"/>
            <w:tcBorders>
              <w:top w:val="nil"/>
              <w:left w:val="nil"/>
              <w:bottom w:val="single" w:sz="4" w:space="0" w:color="auto"/>
              <w:right w:val="single" w:sz="4" w:space="0" w:color="auto"/>
            </w:tcBorders>
            <w:shd w:val="clear" w:color="000000" w:fill="F79B80"/>
            <w:noWrap/>
            <w:vAlign w:val="bottom"/>
            <w:hideMark/>
          </w:tcPr>
          <w:p w14:paraId="6983E9A0"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Q4</w:t>
            </w:r>
          </w:p>
        </w:tc>
        <w:tc>
          <w:tcPr>
            <w:tcW w:w="1054" w:type="dxa"/>
            <w:tcBorders>
              <w:top w:val="nil"/>
              <w:left w:val="nil"/>
              <w:bottom w:val="single" w:sz="4" w:space="0" w:color="auto"/>
              <w:right w:val="single" w:sz="4" w:space="0" w:color="auto"/>
            </w:tcBorders>
            <w:shd w:val="clear" w:color="000000" w:fill="F79B80"/>
            <w:noWrap/>
            <w:vAlign w:val="bottom"/>
            <w:hideMark/>
          </w:tcPr>
          <w:p w14:paraId="04A690F2"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Average</w:t>
            </w:r>
          </w:p>
        </w:tc>
        <w:tc>
          <w:tcPr>
            <w:tcW w:w="1027" w:type="dxa"/>
            <w:tcBorders>
              <w:top w:val="nil"/>
              <w:left w:val="nil"/>
              <w:bottom w:val="single" w:sz="4" w:space="0" w:color="auto"/>
              <w:right w:val="single" w:sz="4" w:space="0" w:color="auto"/>
            </w:tcBorders>
            <w:shd w:val="clear" w:color="000000" w:fill="47D359"/>
            <w:noWrap/>
            <w:vAlign w:val="bottom"/>
            <w:hideMark/>
          </w:tcPr>
          <w:p w14:paraId="05134406"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Site 4</w:t>
            </w:r>
          </w:p>
        </w:tc>
        <w:tc>
          <w:tcPr>
            <w:tcW w:w="1080" w:type="dxa"/>
            <w:tcBorders>
              <w:top w:val="nil"/>
              <w:left w:val="nil"/>
              <w:bottom w:val="single" w:sz="4" w:space="0" w:color="auto"/>
              <w:right w:val="single" w:sz="4" w:space="0" w:color="auto"/>
            </w:tcBorders>
            <w:shd w:val="clear" w:color="000000" w:fill="47D359"/>
            <w:noWrap/>
            <w:vAlign w:val="bottom"/>
            <w:hideMark/>
          </w:tcPr>
          <w:p w14:paraId="4F253ED2"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Q2</w:t>
            </w:r>
          </w:p>
        </w:tc>
        <w:tc>
          <w:tcPr>
            <w:tcW w:w="1260" w:type="dxa"/>
            <w:tcBorders>
              <w:top w:val="nil"/>
              <w:left w:val="nil"/>
              <w:bottom w:val="single" w:sz="4" w:space="0" w:color="auto"/>
              <w:right w:val="single" w:sz="4" w:space="0" w:color="auto"/>
            </w:tcBorders>
            <w:shd w:val="clear" w:color="000000" w:fill="47D359"/>
            <w:noWrap/>
            <w:vAlign w:val="bottom"/>
            <w:hideMark/>
          </w:tcPr>
          <w:p w14:paraId="62E7D14F"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Q3</w:t>
            </w:r>
          </w:p>
        </w:tc>
        <w:tc>
          <w:tcPr>
            <w:tcW w:w="614" w:type="dxa"/>
            <w:tcBorders>
              <w:top w:val="nil"/>
              <w:left w:val="nil"/>
              <w:bottom w:val="single" w:sz="4" w:space="0" w:color="auto"/>
              <w:right w:val="single" w:sz="4" w:space="0" w:color="auto"/>
            </w:tcBorders>
            <w:shd w:val="clear" w:color="000000" w:fill="47D359"/>
            <w:noWrap/>
            <w:vAlign w:val="bottom"/>
            <w:hideMark/>
          </w:tcPr>
          <w:p w14:paraId="7255A76D"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Q4</w:t>
            </w:r>
          </w:p>
        </w:tc>
        <w:tc>
          <w:tcPr>
            <w:tcW w:w="1080" w:type="dxa"/>
            <w:tcBorders>
              <w:top w:val="nil"/>
              <w:left w:val="nil"/>
              <w:bottom w:val="single" w:sz="4" w:space="0" w:color="auto"/>
              <w:right w:val="single" w:sz="4" w:space="0" w:color="auto"/>
            </w:tcBorders>
            <w:shd w:val="clear" w:color="000000" w:fill="47D359"/>
            <w:noWrap/>
            <w:vAlign w:val="bottom"/>
            <w:hideMark/>
          </w:tcPr>
          <w:p w14:paraId="5B04F7BB"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Average</w:t>
            </w:r>
          </w:p>
        </w:tc>
      </w:tr>
      <w:tr w:rsidR="007F2FEE" w:rsidRPr="006A6789" w14:paraId="02968DC1" w14:textId="77777777" w:rsidTr="003B46DF">
        <w:trPr>
          <w:trHeight w:val="300"/>
          <w:jc w:val="center"/>
        </w:trPr>
        <w:tc>
          <w:tcPr>
            <w:tcW w:w="990" w:type="dxa"/>
            <w:tcBorders>
              <w:top w:val="nil"/>
              <w:left w:val="single" w:sz="4" w:space="0" w:color="auto"/>
              <w:bottom w:val="single" w:sz="4" w:space="0" w:color="auto"/>
              <w:right w:val="single" w:sz="4" w:space="0" w:color="auto"/>
            </w:tcBorders>
            <w:noWrap/>
            <w:vAlign w:val="bottom"/>
            <w:hideMark/>
          </w:tcPr>
          <w:p w14:paraId="790A39CC"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xml:space="preserve">Native </w:t>
            </w:r>
          </w:p>
        </w:tc>
        <w:tc>
          <w:tcPr>
            <w:tcW w:w="720" w:type="dxa"/>
            <w:tcBorders>
              <w:top w:val="nil"/>
              <w:left w:val="nil"/>
              <w:bottom w:val="single" w:sz="4" w:space="0" w:color="auto"/>
              <w:right w:val="single" w:sz="4" w:space="0" w:color="auto"/>
            </w:tcBorders>
            <w:noWrap/>
            <w:vAlign w:val="bottom"/>
            <w:hideMark/>
          </w:tcPr>
          <w:p w14:paraId="185852DA"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0.8</w:t>
            </w:r>
          </w:p>
        </w:tc>
        <w:tc>
          <w:tcPr>
            <w:tcW w:w="720" w:type="dxa"/>
            <w:tcBorders>
              <w:top w:val="nil"/>
              <w:left w:val="nil"/>
              <w:bottom w:val="single" w:sz="4" w:space="0" w:color="auto"/>
              <w:right w:val="single" w:sz="4" w:space="0" w:color="auto"/>
            </w:tcBorders>
            <w:noWrap/>
            <w:vAlign w:val="bottom"/>
            <w:hideMark/>
          </w:tcPr>
          <w:p w14:paraId="0F6F45E5"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0.8</w:t>
            </w:r>
          </w:p>
        </w:tc>
        <w:tc>
          <w:tcPr>
            <w:tcW w:w="630" w:type="dxa"/>
            <w:tcBorders>
              <w:top w:val="nil"/>
              <w:left w:val="nil"/>
              <w:bottom w:val="single" w:sz="4" w:space="0" w:color="auto"/>
              <w:right w:val="single" w:sz="4" w:space="0" w:color="auto"/>
            </w:tcBorders>
            <w:noWrap/>
            <w:vAlign w:val="bottom"/>
            <w:hideMark/>
          </w:tcPr>
          <w:p w14:paraId="3AD92DB8"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0.8</w:t>
            </w:r>
          </w:p>
        </w:tc>
        <w:tc>
          <w:tcPr>
            <w:tcW w:w="1054" w:type="dxa"/>
            <w:tcBorders>
              <w:top w:val="nil"/>
              <w:left w:val="nil"/>
              <w:bottom w:val="single" w:sz="4" w:space="0" w:color="auto"/>
              <w:right w:val="single" w:sz="4" w:space="0" w:color="auto"/>
            </w:tcBorders>
            <w:noWrap/>
            <w:vAlign w:val="bottom"/>
            <w:hideMark/>
          </w:tcPr>
          <w:p w14:paraId="38BBC948"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0.8</w:t>
            </w:r>
          </w:p>
        </w:tc>
        <w:tc>
          <w:tcPr>
            <w:tcW w:w="1027" w:type="dxa"/>
            <w:tcBorders>
              <w:top w:val="nil"/>
              <w:left w:val="nil"/>
              <w:bottom w:val="single" w:sz="4" w:space="0" w:color="auto"/>
              <w:right w:val="single" w:sz="4" w:space="0" w:color="auto"/>
            </w:tcBorders>
            <w:noWrap/>
            <w:vAlign w:val="bottom"/>
            <w:hideMark/>
          </w:tcPr>
          <w:p w14:paraId="1725960B"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xml:space="preserve">Native </w:t>
            </w:r>
          </w:p>
        </w:tc>
        <w:tc>
          <w:tcPr>
            <w:tcW w:w="1080" w:type="dxa"/>
            <w:tcBorders>
              <w:top w:val="nil"/>
              <w:left w:val="nil"/>
              <w:bottom w:val="single" w:sz="4" w:space="0" w:color="auto"/>
              <w:right w:val="single" w:sz="4" w:space="0" w:color="auto"/>
            </w:tcBorders>
            <w:noWrap/>
            <w:vAlign w:val="bottom"/>
            <w:hideMark/>
          </w:tcPr>
          <w:p w14:paraId="17F9D108"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0.85</w:t>
            </w:r>
          </w:p>
        </w:tc>
        <w:tc>
          <w:tcPr>
            <w:tcW w:w="1260" w:type="dxa"/>
            <w:tcBorders>
              <w:top w:val="nil"/>
              <w:left w:val="nil"/>
              <w:bottom w:val="single" w:sz="4" w:space="0" w:color="auto"/>
              <w:right w:val="single" w:sz="4" w:space="0" w:color="auto"/>
            </w:tcBorders>
            <w:noWrap/>
            <w:vAlign w:val="bottom"/>
            <w:hideMark/>
          </w:tcPr>
          <w:p w14:paraId="65D4D9C0"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0.85</w:t>
            </w:r>
          </w:p>
        </w:tc>
        <w:tc>
          <w:tcPr>
            <w:tcW w:w="614" w:type="dxa"/>
            <w:tcBorders>
              <w:top w:val="nil"/>
              <w:left w:val="nil"/>
              <w:bottom w:val="single" w:sz="4" w:space="0" w:color="auto"/>
              <w:right w:val="single" w:sz="4" w:space="0" w:color="auto"/>
            </w:tcBorders>
            <w:noWrap/>
            <w:vAlign w:val="bottom"/>
            <w:hideMark/>
          </w:tcPr>
          <w:p w14:paraId="31B27D48"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1</w:t>
            </w:r>
          </w:p>
        </w:tc>
        <w:tc>
          <w:tcPr>
            <w:tcW w:w="1080" w:type="dxa"/>
            <w:tcBorders>
              <w:top w:val="nil"/>
              <w:left w:val="nil"/>
              <w:bottom w:val="single" w:sz="4" w:space="0" w:color="auto"/>
              <w:right w:val="single" w:sz="4" w:space="0" w:color="auto"/>
            </w:tcBorders>
            <w:noWrap/>
            <w:vAlign w:val="bottom"/>
            <w:hideMark/>
          </w:tcPr>
          <w:p w14:paraId="277D0787"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0.9</w:t>
            </w:r>
          </w:p>
        </w:tc>
      </w:tr>
      <w:tr w:rsidR="007F2FEE" w:rsidRPr="006A6789" w14:paraId="4837CA2B" w14:textId="77777777" w:rsidTr="003B46DF">
        <w:trPr>
          <w:trHeight w:val="323"/>
          <w:jc w:val="center"/>
        </w:trPr>
        <w:tc>
          <w:tcPr>
            <w:tcW w:w="990" w:type="dxa"/>
            <w:tcBorders>
              <w:top w:val="nil"/>
              <w:left w:val="single" w:sz="4" w:space="0" w:color="auto"/>
              <w:bottom w:val="single" w:sz="4" w:space="0" w:color="auto"/>
              <w:right w:val="single" w:sz="4" w:space="0" w:color="auto"/>
            </w:tcBorders>
            <w:noWrap/>
            <w:vAlign w:val="bottom"/>
            <w:hideMark/>
          </w:tcPr>
          <w:p w14:paraId="64C8D211"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Invasive</w:t>
            </w:r>
          </w:p>
        </w:tc>
        <w:tc>
          <w:tcPr>
            <w:tcW w:w="720" w:type="dxa"/>
            <w:tcBorders>
              <w:top w:val="nil"/>
              <w:left w:val="nil"/>
              <w:bottom w:val="single" w:sz="4" w:space="0" w:color="auto"/>
              <w:right w:val="single" w:sz="4" w:space="0" w:color="auto"/>
            </w:tcBorders>
            <w:noWrap/>
            <w:vAlign w:val="bottom"/>
            <w:hideMark/>
          </w:tcPr>
          <w:p w14:paraId="072FD5C9"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0.1</w:t>
            </w:r>
          </w:p>
        </w:tc>
        <w:tc>
          <w:tcPr>
            <w:tcW w:w="720" w:type="dxa"/>
            <w:tcBorders>
              <w:top w:val="nil"/>
              <w:left w:val="nil"/>
              <w:bottom w:val="single" w:sz="4" w:space="0" w:color="auto"/>
              <w:right w:val="single" w:sz="4" w:space="0" w:color="auto"/>
            </w:tcBorders>
            <w:noWrap/>
            <w:vAlign w:val="bottom"/>
            <w:hideMark/>
          </w:tcPr>
          <w:p w14:paraId="512930F2"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w:t>
            </w:r>
          </w:p>
        </w:tc>
        <w:tc>
          <w:tcPr>
            <w:tcW w:w="630" w:type="dxa"/>
            <w:tcBorders>
              <w:top w:val="nil"/>
              <w:left w:val="nil"/>
              <w:bottom w:val="single" w:sz="4" w:space="0" w:color="auto"/>
              <w:right w:val="single" w:sz="4" w:space="0" w:color="auto"/>
            </w:tcBorders>
            <w:noWrap/>
            <w:vAlign w:val="bottom"/>
            <w:hideMark/>
          </w:tcPr>
          <w:p w14:paraId="3447A535"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0.2</w:t>
            </w:r>
          </w:p>
        </w:tc>
        <w:tc>
          <w:tcPr>
            <w:tcW w:w="1054" w:type="dxa"/>
            <w:tcBorders>
              <w:top w:val="nil"/>
              <w:left w:val="nil"/>
              <w:bottom w:val="single" w:sz="4" w:space="0" w:color="auto"/>
              <w:right w:val="single" w:sz="4" w:space="0" w:color="auto"/>
            </w:tcBorders>
            <w:noWrap/>
            <w:vAlign w:val="bottom"/>
            <w:hideMark/>
          </w:tcPr>
          <w:p w14:paraId="3B99AE4F"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0.1</w:t>
            </w:r>
          </w:p>
        </w:tc>
        <w:tc>
          <w:tcPr>
            <w:tcW w:w="1027" w:type="dxa"/>
            <w:tcBorders>
              <w:top w:val="nil"/>
              <w:left w:val="nil"/>
              <w:bottom w:val="single" w:sz="4" w:space="0" w:color="auto"/>
              <w:right w:val="single" w:sz="4" w:space="0" w:color="auto"/>
            </w:tcBorders>
            <w:noWrap/>
            <w:vAlign w:val="bottom"/>
            <w:hideMark/>
          </w:tcPr>
          <w:p w14:paraId="11C0CE31"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Invasive</w:t>
            </w:r>
          </w:p>
        </w:tc>
        <w:tc>
          <w:tcPr>
            <w:tcW w:w="1080" w:type="dxa"/>
            <w:tcBorders>
              <w:top w:val="nil"/>
              <w:left w:val="nil"/>
              <w:bottom w:val="single" w:sz="4" w:space="0" w:color="auto"/>
              <w:right w:val="single" w:sz="4" w:space="0" w:color="auto"/>
            </w:tcBorders>
            <w:noWrap/>
            <w:vAlign w:val="bottom"/>
            <w:hideMark/>
          </w:tcPr>
          <w:p w14:paraId="2CB2D7D6"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0.05</w:t>
            </w:r>
          </w:p>
        </w:tc>
        <w:tc>
          <w:tcPr>
            <w:tcW w:w="1260" w:type="dxa"/>
            <w:tcBorders>
              <w:top w:val="nil"/>
              <w:left w:val="nil"/>
              <w:bottom w:val="single" w:sz="4" w:space="0" w:color="auto"/>
              <w:right w:val="single" w:sz="4" w:space="0" w:color="auto"/>
            </w:tcBorders>
            <w:noWrap/>
            <w:vAlign w:val="bottom"/>
            <w:hideMark/>
          </w:tcPr>
          <w:p w14:paraId="640F02C2"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0.05</w:t>
            </w:r>
          </w:p>
        </w:tc>
        <w:tc>
          <w:tcPr>
            <w:tcW w:w="614" w:type="dxa"/>
            <w:tcBorders>
              <w:top w:val="nil"/>
              <w:left w:val="nil"/>
              <w:bottom w:val="single" w:sz="4" w:space="0" w:color="auto"/>
              <w:right w:val="single" w:sz="4" w:space="0" w:color="auto"/>
            </w:tcBorders>
            <w:noWrap/>
            <w:vAlign w:val="bottom"/>
            <w:hideMark/>
          </w:tcPr>
          <w:p w14:paraId="2EE9BA66"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w:t>
            </w:r>
          </w:p>
        </w:tc>
        <w:tc>
          <w:tcPr>
            <w:tcW w:w="1080" w:type="dxa"/>
            <w:tcBorders>
              <w:top w:val="nil"/>
              <w:left w:val="nil"/>
              <w:bottom w:val="single" w:sz="4" w:space="0" w:color="auto"/>
              <w:right w:val="single" w:sz="4" w:space="0" w:color="auto"/>
            </w:tcBorders>
            <w:noWrap/>
            <w:vAlign w:val="bottom"/>
            <w:hideMark/>
          </w:tcPr>
          <w:p w14:paraId="57A0A070"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0.033333</w:t>
            </w:r>
          </w:p>
        </w:tc>
      </w:tr>
      <w:tr w:rsidR="007F2FEE" w:rsidRPr="006A6789" w14:paraId="22F76C3A" w14:textId="77777777" w:rsidTr="003B46DF">
        <w:trPr>
          <w:trHeight w:val="300"/>
          <w:jc w:val="center"/>
        </w:trPr>
        <w:tc>
          <w:tcPr>
            <w:tcW w:w="990" w:type="dxa"/>
            <w:tcBorders>
              <w:top w:val="nil"/>
              <w:left w:val="single" w:sz="4" w:space="0" w:color="auto"/>
              <w:bottom w:val="single" w:sz="4" w:space="0" w:color="auto"/>
              <w:right w:val="single" w:sz="4" w:space="0" w:color="auto"/>
            </w:tcBorders>
            <w:noWrap/>
            <w:vAlign w:val="bottom"/>
            <w:hideMark/>
          </w:tcPr>
          <w:p w14:paraId="1F53B987"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BG</w:t>
            </w:r>
          </w:p>
        </w:tc>
        <w:tc>
          <w:tcPr>
            <w:tcW w:w="720" w:type="dxa"/>
            <w:tcBorders>
              <w:top w:val="nil"/>
              <w:left w:val="nil"/>
              <w:bottom w:val="single" w:sz="4" w:space="0" w:color="auto"/>
              <w:right w:val="single" w:sz="4" w:space="0" w:color="auto"/>
            </w:tcBorders>
            <w:noWrap/>
            <w:vAlign w:val="bottom"/>
            <w:hideMark/>
          </w:tcPr>
          <w:p w14:paraId="6A0124B7"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0.1</w:t>
            </w:r>
          </w:p>
        </w:tc>
        <w:tc>
          <w:tcPr>
            <w:tcW w:w="720" w:type="dxa"/>
            <w:tcBorders>
              <w:top w:val="nil"/>
              <w:left w:val="nil"/>
              <w:bottom w:val="single" w:sz="4" w:space="0" w:color="auto"/>
              <w:right w:val="single" w:sz="4" w:space="0" w:color="auto"/>
            </w:tcBorders>
            <w:noWrap/>
            <w:vAlign w:val="bottom"/>
            <w:hideMark/>
          </w:tcPr>
          <w:p w14:paraId="48EA74EB"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0.2</w:t>
            </w:r>
          </w:p>
        </w:tc>
        <w:tc>
          <w:tcPr>
            <w:tcW w:w="630" w:type="dxa"/>
            <w:tcBorders>
              <w:top w:val="nil"/>
              <w:left w:val="nil"/>
              <w:bottom w:val="single" w:sz="4" w:space="0" w:color="auto"/>
              <w:right w:val="single" w:sz="4" w:space="0" w:color="auto"/>
            </w:tcBorders>
            <w:noWrap/>
            <w:vAlign w:val="bottom"/>
            <w:hideMark/>
          </w:tcPr>
          <w:p w14:paraId="65943F8C"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w:t>
            </w:r>
          </w:p>
        </w:tc>
        <w:tc>
          <w:tcPr>
            <w:tcW w:w="1054" w:type="dxa"/>
            <w:tcBorders>
              <w:top w:val="nil"/>
              <w:left w:val="nil"/>
              <w:bottom w:val="single" w:sz="4" w:space="0" w:color="auto"/>
              <w:right w:val="single" w:sz="4" w:space="0" w:color="auto"/>
            </w:tcBorders>
            <w:noWrap/>
            <w:vAlign w:val="bottom"/>
            <w:hideMark/>
          </w:tcPr>
          <w:p w14:paraId="0356D872"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0.1</w:t>
            </w:r>
          </w:p>
        </w:tc>
        <w:tc>
          <w:tcPr>
            <w:tcW w:w="1027" w:type="dxa"/>
            <w:tcBorders>
              <w:top w:val="nil"/>
              <w:left w:val="nil"/>
              <w:bottom w:val="single" w:sz="4" w:space="0" w:color="auto"/>
              <w:right w:val="single" w:sz="4" w:space="0" w:color="auto"/>
            </w:tcBorders>
            <w:noWrap/>
            <w:vAlign w:val="bottom"/>
            <w:hideMark/>
          </w:tcPr>
          <w:p w14:paraId="35BA472F"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BG</w:t>
            </w:r>
          </w:p>
        </w:tc>
        <w:tc>
          <w:tcPr>
            <w:tcW w:w="1080" w:type="dxa"/>
            <w:tcBorders>
              <w:top w:val="nil"/>
              <w:left w:val="nil"/>
              <w:bottom w:val="single" w:sz="4" w:space="0" w:color="auto"/>
              <w:right w:val="single" w:sz="4" w:space="0" w:color="auto"/>
            </w:tcBorders>
            <w:noWrap/>
            <w:vAlign w:val="bottom"/>
            <w:hideMark/>
          </w:tcPr>
          <w:p w14:paraId="4649B1A3"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0.1</w:t>
            </w:r>
          </w:p>
        </w:tc>
        <w:tc>
          <w:tcPr>
            <w:tcW w:w="1260" w:type="dxa"/>
            <w:tcBorders>
              <w:top w:val="nil"/>
              <w:left w:val="nil"/>
              <w:bottom w:val="single" w:sz="4" w:space="0" w:color="auto"/>
              <w:right w:val="single" w:sz="4" w:space="0" w:color="auto"/>
            </w:tcBorders>
            <w:noWrap/>
            <w:vAlign w:val="bottom"/>
            <w:hideMark/>
          </w:tcPr>
          <w:p w14:paraId="143092B5"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0.1</w:t>
            </w:r>
          </w:p>
        </w:tc>
        <w:tc>
          <w:tcPr>
            <w:tcW w:w="614" w:type="dxa"/>
            <w:tcBorders>
              <w:top w:val="nil"/>
              <w:left w:val="nil"/>
              <w:bottom w:val="single" w:sz="4" w:space="0" w:color="auto"/>
              <w:right w:val="single" w:sz="4" w:space="0" w:color="auto"/>
            </w:tcBorders>
            <w:noWrap/>
            <w:vAlign w:val="bottom"/>
            <w:hideMark/>
          </w:tcPr>
          <w:p w14:paraId="2678F116"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w:t>
            </w:r>
          </w:p>
        </w:tc>
        <w:tc>
          <w:tcPr>
            <w:tcW w:w="1080" w:type="dxa"/>
            <w:tcBorders>
              <w:top w:val="nil"/>
              <w:left w:val="nil"/>
              <w:bottom w:val="single" w:sz="4" w:space="0" w:color="auto"/>
              <w:right w:val="single" w:sz="4" w:space="0" w:color="auto"/>
            </w:tcBorders>
            <w:noWrap/>
            <w:vAlign w:val="bottom"/>
            <w:hideMark/>
          </w:tcPr>
          <w:p w14:paraId="08C5AFD6"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0.066667</w:t>
            </w:r>
          </w:p>
        </w:tc>
      </w:tr>
      <w:tr w:rsidR="007F2FEE" w:rsidRPr="006A6789" w14:paraId="3DB00E23" w14:textId="77777777" w:rsidTr="003B46DF">
        <w:trPr>
          <w:trHeight w:val="300"/>
          <w:jc w:val="center"/>
        </w:trPr>
        <w:tc>
          <w:tcPr>
            <w:tcW w:w="990" w:type="dxa"/>
            <w:tcBorders>
              <w:top w:val="nil"/>
              <w:left w:val="single" w:sz="4" w:space="0" w:color="auto"/>
              <w:bottom w:val="single" w:sz="4" w:space="0" w:color="auto"/>
              <w:right w:val="single" w:sz="4" w:space="0" w:color="auto"/>
            </w:tcBorders>
            <w:noWrap/>
            <w:vAlign w:val="bottom"/>
            <w:hideMark/>
          </w:tcPr>
          <w:p w14:paraId="08FFAB7D"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720" w:type="dxa"/>
            <w:tcBorders>
              <w:top w:val="nil"/>
              <w:left w:val="nil"/>
              <w:bottom w:val="single" w:sz="4" w:space="0" w:color="auto"/>
              <w:right w:val="single" w:sz="4" w:space="0" w:color="auto"/>
            </w:tcBorders>
            <w:noWrap/>
            <w:vAlign w:val="bottom"/>
            <w:hideMark/>
          </w:tcPr>
          <w:p w14:paraId="536299A6"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720" w:type="dxa"/>
            <w:tcBorders>
              <w:top w:val="nil"/>
              <w:left w:val="nil"/>
              <w:bottom w:val="single" w:sz="4" w:space="0" w:color="auto"/>
              <w:right w:val="single" w:sz="4" w:space="0" w:color="auto"/>
            </w:tcBorders>
            <w:noWrap/>
            <w:vAlign w:val="bottom"/>
            <w:hideMark/>
          </w:tcPr>
          <w:p w14:paraId="08AD5AD6"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630" w:type="dxa"/>
            <w:tcBorders>
              <w:top w:val="nil"/>
              <w:left w:val="nil"/>
              <w:bottom w:val="single" w:sz="4" w:space="0" w:color="auto"/>
              <w:right w:val="single" w:sz="4" w:space="0" w:color="auto"/>
            </w:tcBorders>
            <w:noWrap/>
            <w:vAlign w:val="bottom"/>
            <w:hideMark/>
          </w:tcPr>
          <w:p w14:paraId="7D827BEF"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1054" w:type="dxa"/>
            <w:tcBorders>
              <w:top w:val="nil"/>
              <w:left w:val="nil"/>
              <w:bottom w:val="single" w:sz="4" w:space="0" w:color="auto"/>
              <w:right w:val="single" w:sz="4" w:space="0" w:color="auto"/>
            </w:tcBorders>
            <w:noWrap/>
            <w:vAlign w:val="bottom"/>
            <w:hideMark/>
          </w:tcPr>
          <w:p w14:paraId="11D988DF"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1027" w:type="dxa"/>
            <w:tcBorders>
              <w:top w:val="nil"/>
              <w:left w:val="nil"/>
              <w:bottom w:val="single" w:sz="4" w:space="0" w:color="auto"/>
              <w:right w:val="single" w:sz="4" w:space="0" w:color="auto"/>
            </w:tcBorders>
            <w:noWrap/>
            <w:vAlign w:val="bottom"/>
            <w:hideMark/>
          </w:tcPr>
          <w:p w14:paraId="61648F07"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1080" w:type="dxa"/>
            <w:tcBorders>
              <w:top w:val="nil"/>
              <w:left w:val="nil"/>
              <w:bottom w:val="single" w:sz="4" w:space="0" w:color="auto"/>
              <w:right w:val="single" w:sz="4" w:space="0" w:color="auto"/>
            </w:tcBorders>
            <w:noWrap/>
            <w:vAlign w:val="bottom"/>
            <w:hideMark/>
          </w:tcPr>
          <w:p w14:paraId="69CFEC56"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1260" w:type="dxa"/>
            <w:tcBorders>
              <w:top w:val="nil"/>
              <w:left w:val="nil"/>
              <w:bottom w:val="single" w:sz="4" w:space="0" w:color="auto"/>
              <w:right w:val="single" w:sz="4" w:space="0" w:color="auto"/>
            </w:tcBorders>
            <w:noWrap/>
            <w:vAlign w:val="bottom"/>
            <w:hideMark/>
          </w:tcPr>
          <w:p w14:paraId="68AA958D"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614" w:type="dxa"/>
            <w:tcBorders>
              <w:top w:val="nil"/>
              <w:left w:val="nil"/>
              <w:bottom w:val="single" w:sz="4" w:space="0" w:color="auto"/>
              <w:right w:val="single" w:sz="4" w:space="0" w:color="auto"/>
            </w:tcBorders>
            <w:noWrap/>
            <w:vAlign w:val="bottom"/>
            <w:hideMark/>
          </w:tcPr>
          <w:p w14:paraId="73383B27"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1080" w:type="dxa"/>
            <w:tcBorders>
              <w:top w:val="nil"/>
              <w:left w:val="nil"/>
              <w:bottom w:val="single" w:sz="4" w:space="0" w:color="auto"/>
              <w:right w:val="single" w:sz="4" w:space="0" w:color="auto"/>
            </w:tcBorders>
            <w:noWrap/>
            <w:vAlign w:val="bottom"/>
            <w:hideMark/>
          </w:tcPr>
          <w:p w14:paraId="4F424DD0"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r>
      <w:tr w:rsidR="007F2FEE" w:rsidRPr="006A6789" w14:paraId="2B645BC9" w14:textId="77777777" w:rsidTr="003B46DF">
        <w:trPr>
          <w:trHeight w:val="300"/>
          <w:jc w:val="center"/>
        </w:trPr>
        <w:tc>
          <w:tcPr>
            <w:tcW w:w="990" w:type="dxa"/>
            <w:tcBorders>
              <w:top w:val="nil"/>
              <w:left w:val="single" w:sz="4" w:space="0" w:color="auto"/>
              <w:bottom w:val="single" w:sz="4" w:space="0" w:color="auto"/>
              <w:right w:val="single" w:sz="4" w:space="0" w:color="auto"/>
            </w:tcBorders>
            <w:shd w:val="clear" w:color="000000" w:fill="68B6F0"/>
            <w:noWrap/>
            <w:vAlign w:val="bottom"/>
            <w:hideMark/>
          </w:tcPr>
          <w:p w14:paraId="261B2BEF"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Site 2</w:t>
            </w:r>
          </w:p>
        </w:tc>
        <w:tc>
          <w:tcPr>
            <w:tcW w:w="720" w:type="dxa"/>
            <w:tcBorders>
              <w:top w:val="nil"/>
              <w:left w:val="nil"/>
              <w:bottom w:val="single" w:sz="4" w:space="0" w:color="auto"/>
              <w:right w:val="single" w:sz="4" w:space="0" w:color="auto"/>
            </w:tcBorders>
            <w:shd w:val="clear" w:color="000000" w:fill="68B6F0"/>
            <w:noWrap/>
            <w:vAlign w:val="bottom"/>
            <w:hideMark/>
          </w:tcPr>
          <w:p w14:paraId="7B7133C8"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Q2</w:t>
            </w:r>
          </w:p>
        </w:tc>
        <w:tc>
          <w:tcPr>
            <w:tcW w:w="720" w:type="dxa"/>
            <w:tcBorders>
              <w:top w:val="nil"/>
              <w:left w:val="nil"/>
              <w:bottom w:val="single" w:sz="4" w:space="0" w:color="auto"/>
              <w:right w:val="single" w:sz="4" w:space="0" w:color="auto"/>
            </w:tcBorders>
            <w:shd w:val="clear" w:color="000000" w:fill="68B6F0"/>
            <w:noWrap/>
            <w:vAlign w:val="bottom"/>
            <w:hideMark/>
          </w:tcPr>
          <w:p w14:paraId="40DC7631"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Q3</w:t>
            </w:r>
          </w:p>
        </w:tc>
        <w:tc>
          <w:tcPr>
            <w:tcW w:w="630" w:type="dxa"/>
            <w:tcBorders>
              <w:top w:val="nil"/>
              <w:left w:val="nil"/>
              <w:bottom w:val="single" w:sz="4" w:space="0" w:color="auto"/>
              <w:right w:val="single" w:sz="4" w:space="0" w:color="auto"/>
            </w:tcBorders>
            <w:shd w:val="clear" w:color="000000" w:fill="68B6F0"/>
            <w:noWrap/>
            <w:vAlign w:val="bottom"/>
            <w:hideMark/>
          </w:tcPr>
          <w:p w14:paraId="64AF1D6D"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Q4</w:t>
            </w:r>
          </w:p>
        </w:tc>
        <w:tc>
          <w:tcPr>
            <w:tcW w:w="1054" w:type="dxa"/>
            <w:tcBorders>
              <w:top w:val="nil"/>
              <w:left w:val="nil"/>
              <w:bottom w:val="single" w:sz="4" w:space="0" w:color="auto"/>
              <w:right w:val="single" w:sz="4" w:space="0" w:color="auto"/>
            </w:tcBorders>
            <w:shd w:val="clear" w:color="000000" w:fill="68B6F0"/>
            <w:noWrap/>
            <w:vAlign w:val="bottom"/>
            <w:hideMark/>
          </w:tcPr>
          <w:p w14:paraId="2D08C075"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Average</w:t>
            </w:r>
          </w:p>
        </w:tc>
        <w:tc>
          <w:tcPr>
            <w:tcW w:w="1027" w:type="dxa"/>
            <w:tcBorders>
              <w:top w:val="nil"/>
              <w:left w:val="nil"/>
              <w:bottom w:val="single" w:sz="4" w:space="0" w:color="auto"/>
              <w:right w:val="single" w:sz="4" w:space="0" w:color="auto"/>
            </w:tcBorders>
            <w:shd w:val="clear" w:color="000000" w:fill="FFAAFF"/>
            <w:noWrap/>
            <w:vAlign w:val="bottom"/>
            <w:hideMark/>
          </w:tcPr>
          <w:p w14:paraId="43CC0486"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Site 5</w:t>
            </w:r>
          </w:p>
        </w:tc>
        <w:tc>
          <w:tcPr>
            <w:tcW w:w="1080" w:type="dxa"/>
            <w:tcBorders>
              <w:top w:val="nil"/>
              <w:left w:val="nil"/>
              <w:bottom w:val="single" w:sz="4" w:space="0" w:color="auto"/>
              <w:right w:val="single" w:sz="4" w:space="0" w:color="auto"/>
            </w:tcBorders>
            <w:shd w:val="clear" w:color="000000" w:fill="FFAAFF"/>
            <w:noWrap/>
            <w:vAlign w:val="bottom"/>
            <w:hideMark/>
          </w:tcPr>
          <w:p w14:paraId="04D64F1E"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Q2</w:t>
            </w:r>
          </w:p>
        </w:tc>
        <w:tc>
          <w:tcPr>
            <w:tcW w:w="1260" w:type="dxa"/>
            <w:tcBorders>
              <w:top w:val="nil"/>
              <w:left w:val="nil"/>
              <w:bottom w:val="single" w:sz="4" w:space="0" w:color="auto"/>
              <w:right w:val="single" w:sz="4" w:space="0" w:color="auto"/>
            </w:tcBorders>
            <w:shd w:val="clear" w:color="000000" w:fill="FFAAFF"/>
            <w:noWrap/>
            <w:vAlign w:val="bottom"/>
            <w:hideMark/>
          </w:tcPr>
          <w:p w14:paraId="2CA5DB7C"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Q3</w:t>
            </w:r>
          </w:p>
        </w:tc>
        <w:tc>
          <w:tcPr>
            <w:tcW w:w="614" w:type="dxa"/>
            <w:tcBorders>
              <w:top w:val="nil"/>
              <w:left w:val="nil"/>
              <w:bottom w:val="single" w:sz="4" w:space="0" w:color="auto"/>
              <w:right w:val="single" w:sz="4" w:space="0" w:color="auto"/>
            </w:tcBorders>
            <w:shd w:val="clear" w:color="000000" w:fill="FFAAFF"/>
            <w:noWrap/>
            <w:vAlign w:val="bottom"/>
            <w:hideMark/>
          </w:tcPr>
          <w:p w14:paraId="71E1F69D"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Q4</w:t>
            </w:r>
          </w:p>
        </w:tc>
        <w:tc>
          <w:tcPr>
            <w:tcW w:w="1080" w:type="dxa"/>
            <w:tcBorders>
              <w:top w:val="nil"/>
              <w:left w:val="nil"/>
              <w:bottom w:val="single" w:sz="4" w:space="0" w:color="auto"/>
              <w:right w:val="single" w:sz="4" w:space="0" w:color="auto"/>
            </w:tcBorders>
            <w:shd w:val="clear" w:color="000000" w:fill="FFAAFF"/>
            <w:noWrap/>
            <w:vAlign w:val="bottom"/>
            <w:hideMark/>
          </w:tcPr>
          <w:p w14:paraId="04BEEBAF"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Average</w:t>
            </w:r>
          </w:p>
        </w:tc>
      </w:tr>
      <w:tr w:rsidR="007F2FEE" w:rsidRPr="006A6789" w14:paraId="2EA92CDB" w14:textId="77777777" w:rsidTr="003B46DF">
        <w:trPr>
          <w:trHeight w:val="300"/>
          <w:jc w:val="center"/>
        </w:trPr>
        <w:tc>
          <w:tcPr>
            <w:tcW w:w="990" w:type="dxa"/>
            <w:tcBorders>
              <w:top w:val="nil"/>
              <w:left w:val="single" w:sz="4" w:space="0" w:color="auto"/>
              <w:bottom w:val="single" w:sz="4" w:space="0" w:color="auto"/>
              <w:right w:val="single" w:sz="4" w:space="0" w:color="auto"/>
            </w:tcBorders>
            <w:noWrap/>
            <w:vAlign w:val="bottom"/>
            <w:hideMark/>
          </w:tcPr>
          <w:p w14:paraId="4422053C"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xml:space="preserve">Native </w:t>
            </w:r>
          </w:p>
        </w:tc>
        <w:tc>
          <w:tcPr>
            <w:tcW w:w="720" w:type="dxa"/>
            <w:tcBorders>
              <w:top w:val="nil"/>
              <w:left w:val="nil"/>
              <w:bottom w:val="single" w:sz="4" w:space="0" w:color="auto"/>
              <w:right w:val="single" w:sz="4" w:space="0" w:color="auto"/>
            </w:tcBorders>
            <w:noWrap/>
            <w:vAlign w:val="bottom"/>
            <w:hideMark/>
          </w:tcPr>
          <w:p w14:paraId="682FB91E"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0.9</w:t>
            </w:r>
          </w:p>
        </w:tc>
        <w:tc>
          <w:tcPr>
            <w:tcW w:w="720" w:type="dxa"/>
            <w:tcBorders>
              <w:top w:val="nil"/>
              <w:left w:val="nil"/>
              <w:bottom w:val="single" w:sz="4" w:space="0" w:color="auto"/>
              <w:right w:val="single" w:sz="4" w:space="0" w:color="auto"/>
            </w:tcBorders>
            <w:noWrap/>
            <w:vAlign w:val="bottom"/>
            <w:hideMark/>
          </w:tcPr>
          <w:p w14:paraId="09DDAA70"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1</w:t>
            </w:r>
          </w:p>
        </w:tc>
        <w:tc>
          <w:tcPr>
            <w:tcW w:w="630" w:type="dxa"/>
            <w:tcBorders>
              <w:top w:val="nil"/>
              <w:left w:val="nil"/>
              <w:bottom w:val="single" w:sz="4" w:space="0" w:color="auto"/>
              <w:right w:val="single" w:sz="4" w:space="0" w:color="auto"/>
            </w:tcBorders>
            <w:noWrap/>
            <w:vAlign w:val="bottom"/>
            <w:hideMark/>
          </w:tcPr>
          <w:p w14:paraId="17E04BCE"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1</w:t>
            </w:r>
          </w:p>
        </w:tc>
        <w:tc>
          <w:tcPr>
            <w:tcW w:w="1054" w:type="dxa"/>
            <w:tcBorders>
              <w:top w:val="nil"/>
              <w:left w:val="nil"/>
              <w:bottom w:val="single" w:sz="4" w:space="0" w:color="auto"/>
              <w:right w:val="single" w:sz="4" w:space="0" w:color="auto"/>
            </w:tcBorders>
            <w:noWrap/>
            <w:vAlign w:val="bottom"/>
            <w:hideMark/>
          </w:tcPr>
          <w:p w14:paraId="12C8CB65"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0.966667</w:t>
            </w:r>
          </w:p>
        </w:tc>
        <w:tc>
          <w:tcPr>
            <w:tcW w:w="1027" w:type="dxa"/>
            <w:tcBorders>
              <w:top w:val="nil"/>
              <w:left w:val="nil"/>
              <w:bottom w:val="single" w:sz="4" w:space="0" w:color="auto"/>
              <w:right w:val="single" w:sz="4" w:space="0" w:color="auto"/>
            </w:tcBorders>
            <w:noWrap/>
            <w:vAlign w:val="bottom"/>
            <w:hideMark/>
          </w:tcPr>
          <w:p w14:paraId="3C2FA5F4"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xml:space="preserve">Native </w:t>
            </w:r>
          </w:p>
        </w:tc>
        <w:tc>
          <w:tcPr>
            <w:tcW w:w="1080" w:type="dxa"/>
            <w:tcBorders>
              <w:top w:val="nil"/>
              <w:left w:val="nil"/>
              <w:bottom w:val="single" w:sz="4" w:space="0" w:color="auto"/>
              <w:right w:val="single" w:sz="4" w:space="0" w:color="auto"/>
            </w:tcBorders>
            <w:noWrap/>
            <w:vAlign w:val="bottom"/>
            <w:hideMark/>
          </w:tcPr>
          <w:p w14:paraId="0AFE4754"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0.6</w:t>
            </w:r>
          </w:p>
        </w:tc>
        <w:tc>
          <w:tcPr>
            <w:tcW w:w="1260" w:type="dxa"/>
            <w:tcBorders>
              <w:top w:val="nil"/>
              <w:left w:val="nil"/>
              <w:bottom w:val="single" w:sz="4" w:space="0" w:color="auto"/>
              <w:right w:val="single" w:sz="4" w:space="0" w:color="auto"/>
            </w:tcBorders>
            <w:noWrap/>
            <w:vAlign w:val="bottom"/>
            <w:hideMark/>
          </w:tcPr>
          <w:p w14:paraId="58031225"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0.6</w:t>
            </w:r>
          </w:p>
        </w:tc>
        <w:tc>
          <w:tcPr>
            <w:tcW w:w="614" w:type="dxa"/>
            <w:tcBorders>
              <w:top w:val="nil"/>
              <w:left w:val="nil"/>
              <w:bottom w:val="single" w:sz="4" w:space="0" w:color="auto"/>
              <w:right w:val="single" w:sz="4" w:space="0" w:color="auto"/>
            </w:tcBorders>
            <w:noWrap/>
            <w:vAlign w:val="bottom"/>
            <w:hideMark/>
          </w:tcPr>
          <w:p w14:paraId="08DBEADD"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0.9</w:t>
            </w:r>
          </w:p>
        </w:tc>
        <w:tc>
          <w:tcPr>
            <w:tcW w:w="1080" w:type="dxa"/>
            <w:tcBorders>
              <w:top w:val="nil"/>
              <w:left w:val="nil"/>
              <w:bottom w:val="single" w:sz="4" w:space="0" w:color="auto"/>
              <w:right w:val="single" w:sz="4" w:space="0" w:color="auto"/>
            </w:tcBorders>
            <w:noWrap/>
            <w:vAlign w:val="bottom"/>
            <w:hideMark/>
          </w:tcPr>
          <w:p w14:paraId="77CDD675"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0.7</w:t>
            </w:r>
          </w:p>
        </w:tc>
      </w:tr>
      <w:tr w:rsidR="007F2FEE" w:rsidRPr="006A6789" w14:paraId="2CBA5645" w14:textId="77777777" w:rsidTr="003B46DF">
        <w:trPr>
          <w:trHeight w:val="300"/>
          <w:jc w:val="center"/>
        </w:trPr>
        <w:tc>
          <w:tcPr>
            <w:tcW w:w="990" w:type="dxa"/>
            <w:tcBorders>
              <w:top w:val="nil"/>
              <w:left w:val="single" w:sz="4" w:space="0" w:color="auto"/>
              <w:bottom w:val="single" w:sz="4" w:space="0" w:color="auto"/>
              <w:right w:val="single" w:sz="4" w:space="0" w:color="auto"/>
            </w:tcBorders>
            <w:noWrap/>
            <w:vAlign w:val="bottom"/>
            <w:hideMark/>
          </w:tcPr>
          <w:p w14:paraId="2B2AAC32"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Invasive</w:t>
            </w:r>
          </w:p>
        </w:tc>
        <w:tc>
          <w:tcPr>
            <w:tcW w:w="720" w:type="dxa"/>
            <w:tcBorders>
              <w:top w:val="nil"/>
              <w:left w:val="nil"/>
              <w:bottom w:val="single" w:sz="4" w:space="0" w:color="auto"/>
              <w:right w:val="single" w:sz="4" w:space="0" w:color="auto"/>
            </w:tcBorders>
            <w:noWrap/>
            <w:vAlign w:val="bottom"/>
            <w:hideMark/>
          </w:tcPr>
          <w:p w14:paraId="1F1CBD74"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0.05</w:t>
            </w:r>
          </w:p>
        </w:tc>
        <w:tc>
          <w:tcPr>
            <w:tcW w:w="720" w:type="dxa"/>
            <w:tcBorders>
              <w:top w:val="nil"/>
              <w:left w:val="nil"/>
              <w:bottom w:val="single" w:sz="4" w:space="0" w:color="auto"/>
              <w:right w:val="single" w:sz="4" w:space="0" w:color="auto"/>
            </w:tcBorders>
            <w:noWrap/>
            <w:vAlign w:val="bottom"/>
            <w:hideMark/>
          </w:tcPr>
          <w:p w14:paraId="2C9CC2F7"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w:t>
            </w:r>
          </w:p>
        </w:tc>
        <w:tc>
          <w:tcPr>
            <w:tcW w:w="630" w:type="dxa"/>
            <w:tcBorders>
              <w:top w:val="nil"/>
              <w:left w:val="nil"/>
              <w:bottom w:val="single" w:sz="4" w:space="0" w:color="auto"/>
              <w:right w:val="single" w:sz="4" w:space="0" w:color="auto"/>
            </w:tcBorders>
            <w:noWrap/>
            <w:vAlign w:val="bottom"/>
            <w:hideMark/>
          </w:tcPr>
          <w:p w14:paraId="14F03D93"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w:t>
            </w:r>
          </w:p>
        </w:tc>
        <w:tc>
          <w:tcPr>
            <w:tcW w:w="1054" w:type="dxa"/>
            <w:tcBorders>
              <w:top w:val="nil"/>
              <w:left w:val="nil"/>
              <w:bottom w:val="single" w:sz="4" w:space="0" w:color="auto"/>
              <w:right w:val="single" w:sz="4" w:space="0" w:color="auto"/>
            </w:tcBorders>
            <w:noWrap/>
            <w:vAlign w:val="bottom"/>
            <w:hideMark/>
          </w:tcPr>
          <w:p w14:paraId="5F76DA96"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0.016667</w:t>
            </w:r>
          </w:p>
        </w:tc>
        <w:tc>
          <w:tcPr>
            <w:tcW w:w="1027" w:type="dxa"/>
            <w:tcBorders>
              <w:top w:val="nil"/>
              <w:left w:val="nil"/>
              <w:bottom w:val="single" w:sz="4" w:space="0" w:color="auto"/>
              <w:right w:val="single" w:sz="4" w:space="0" w:color="auto"/>
            </w:tcBorders>
            <w:noWrap/>
            <w:vAlign w:val="bottom"/>
            <w:hideMark/>
          </w:tcPr>
          <w:p w14:paraId="6DAC9072"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Invasive</w:t>
            </w:r>
          </w:p>
        </w:tc>
        <w:tc>
          <w:tcPr>
            <w:tcW w:w="1080" w:type="dxa"/>
            <w:tcBorders>
              <w:top w:val="nil"/>
              <w:left w:val="nil"/>
              <w:bottom w:val="single" w:sz="4" w:space="0" w:color="auto"/>
              <w:right w:val="single" w:sz="4" w:space="0" w:color="auto"/>
            </w:tcBorders>
            <w:noWrap/>
            <w:vAlign w:val="bottom"/>
            <w:hideMark/>
          </w:tcPr>
          <w:p w14:paraId="102E4B18"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0.1</w:t>
            </w:r>
          </w:p>
        </w:tc>
        <w:tc>
          <w:tcPr>
            <w:tcW w:w="1260" w:type="dxa"/>
            <w:tcBorders>
              <w:top w:val="nil"/>
              <w:left w:val="nil"/>
              <w:bottom w:val="single" w:sz="4" w:space="0" w:color="auto"/>
              <w:right w:val="single" w:sz="4" w:space="0" w:color="auto"/>
            </w:tcBorders>
            <w:noWrap/>
            <w:vAlign w:val="bottom"/>
            <w:hideMark/>
          </w:tcPr>
          <w:p w14:paraId="5B039DED"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0.2</w:t>
            </w:r>
          </w:p>
        </w:tc>
        <w:tc>
          <w:tcPr>
            <w:tcW w:w="614" w:type="dxa"/>
            <w:tcBorders>
              <w:top w:val="nil"/>
              <w:left w:val="nil"/>
              <w:bottom w:val="single" w:sz="4" w:space="0" w:color="auto"/>
              <w:right w:val="single" w:sz="4" w:space="0" w:color="auto"/>
            </w:tcBorders>
            <w:noWrap/>
            <w:vAlign w:val="bottom"/>
            <w:hideMark/>
          </w:tcPr>
          <w:p w14:paraId="34CE6E81"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w:t>
            </w:r>
          </w:p>
        </w:tc>
        <w:tc>
          <w:tcPr>
            <w:tcW w:w="1080" w:type="dxa"/>
            <w:tcBorders>
              <w:top w:val="nil"/>
              <w:left w:val="nil"/>
              <w:bottom w:val="single" w:sz="4" w:space="0" w:color="auto"/>
              <w:right w:val="single" w:sz="4" w:space="0" w:color="auto"/>
            </w:tcBorders>
            <w:noWrap/>
            <w:vAlign w:val="bottom"/>
            <w:hideMark/>
          </w:tcPr>
          <w:p w14:paraId="6E7229CB"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0.1</w:t>
            </w:r>
          </w:p>
        </w:tc>
      </w:tr>
      <w:tr w:rsidR="007F2FEE" w:rsidRPr="006A6789" w14:paraId="5D6D0DBF" w14:textId="77777777" w:rsidTr="003B46DF">
        <w:trPr>
          <w:trHeight w:val="300"/>
          <w:jc w:val="center"/>
        </w:trPr>
        <w:tc>
          <w:tcPr>
            <w:tcW w:w="990" w:type="dxa"/>
            <w:tcBorders>
              <w:top w:val="nil"/>
              <w:left w:val="single" w:sz="4" w:space="0" w:color="auto"/>
              <w:bottom w:val="single" w:sz="4" w:space="0" w:color="auto"/>
              <w:right w:val="single" w:sz="4" w:space="0" w:color="auto"/>
            </w:tcBorders>
            <w:noWrap/>
            <w:vAlign w:val="bottom"/>
            <w:hideMark/>
          </w:tcPr>
          <w:p w14:paraId="038C62EC"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BG</w:t>
            </w:r>
          </w:p>
        </w:tc>
        <w:tc>
          <w:tcPr>
            <w:tcW w:w="720" w:type="dxa"/>
            <w:tcBorders>
              <w:top w:val="nil"/>
              <w:left w:val="nil"/>
              <w:bottom w:val="single" w:sz="4" w:space="0" w:color="auto"/>
              <w:right w:val="single" w:sz="4" w:space="0" w:color="auto"/>
            </w:tcBorders>
            <w:noWrap/>
            <w:vAlign w:val="bottom"/>
            <w:hideMark/>
          </w:tcPr>
          <w:p w14:paraId="3BBBA0A5"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0.05</w:t>
            </w:r>
          </w:p>
        </w:tc>
        <w:tc>
          <w:tcPr>
            <w:tcW w:w="720" w:type="dxa"/>
            <w:tcBorders>
              <w:top w:val="nil"/>
              <w:left w:val="nil"/>
              <w:bottom w:val="single" w:sz="4" w:space="0" w:color="auto"/>
              <w:right w:val="single" w:sz="4" w:space="0" w:color="auto"/>
            </w:tcBorders>
            <w:noWrap/>
            <w:vAlign w:val="bottom"/>
            <w:hideMark/>
          </w:tcPr>
          <w:p w14:paraId="280EBA87"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w:t>
            </w:r>
          </w:p>
        </w:tc>
        <w:tc>
          <w:tcPr>
            <w:tcW w:w="630" w:type="dxa"/>
            <w:tcBorders>
              <w:top w:val="nil"/>
              <w:left w:val="nil"/>
              <w:bottom w:val="single" w:sz="4" w:space="0" w:color="auto"/>
              <w:right w:val="single" w:sz="4" w:space="0" w:color="auto"/>
            </w:tcBorders>
            <w:noWrap/>
            <w:vAlign w:val="bottom"/>
            <w:hideMark/>
          </w:tcPr>
          <w:p w14:paraId="581685B0"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w:t>
            </w:r>
          </w:p>
        </w:tc>
        <w:tc>
          <w:tcPr>
            <w:tcW w:w="1054" w:type="dxa"/>
            <w:tcBorders>
              <w:top w:val="nil"/>
              <w:left w:val="nil"/>
              <w:bottom w:val="single" w:sz="4" w:space="0" w:color="auto"/>
              <w:right w:val="single" w:sz="4" w:space="0" w:color="auto"/>
            </w:tcBorders>
            <w:noWrap/>
            <w:vAlign w:val="bottom"/>
            <w:hideMark/>
          </w:tcPr>
          <w:p w14:paraId="73139710"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0.016667</w:t>
            </w:r>
          </w:p>
        </w:tc>
        <w:tc>
          <w:tcPr>
            <w:tcW w:w="1027" w:type="dxa"/>
            <w:tcBorders>
              <w:top w:val="nil"/>
              <w:left w:val="nil"/>
              <w:bottom w:val="single" w:sz="4" w:space="0" w:color="auto"/>
              <w:right w:val="single" w:sz="4" w:space="0" w:color="auto"/>
            </w:tcBorders>
            <w:noWrap/>
            <w:vAlign w:val="bottom"/>
            <w:hideMark/>
          </w:tcPr>
          <w:p w14:paraId="519730C1"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BG</w:t>
            </w:r>
          </w:p>
        </w:tc>
        <w:tc>
          <w:tcPr>
            <w:tcW w:w="1080" w:type="dxa"/>
            <w:tcBorders>
              <w:top w:val="nil"/>
              <w:left w:val="nil"/>
              <w:bottom w:val="single" w:sz="4" w:space="0" w:color="auto"/>
              <w:right w:val="single" w:sz="4" w:space="0" w:color="auto"/>
            </w:tcBorders>
            <w:noWrap/>
            <w:vAlign w:val="bottom"/>
            <w:hideMark/>
          </w:tcPr>
          <w:p w14:paraId="30364457"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0.3</w:t>
            </w:r>
          </w:p>
        </w:tc>
        <w:tc>
          <w:tcPr>
            <w:tcW w:w="1260" w:type="dxa"/>
            <w:tcBorders>
              <w:top w:val="nil"/>
              <w:left w:val="nil"/>
              <w:bottom w:val="single" w:sz="4" w:space="0" w:color="auto"/>
              <w:right w:val="single" w:sz="4" w:space="0" w:color="auto"/>
            </w:tcBorders>
            <w:noWrap/>
            <w:vAlign w:val="bottom"/>
            <w:hideMark/>
          </w:tcPr>
          <w:p w14:paraId="2CE88A7C"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0.2</w:t>
            </w:r>
          </w:p>
        </w:tc>
        <w:tc>
          <w:tcPr>
            <w:tcW w:w="614" w:type="dxa"/>
            <w:tcBorders>
              <w:top w:val="nil"/>
              <w:left w:val="nil"/>
              <w:bottom w:val="single" w:sz="4" w:space="0" w:color="auto"/>
              <w:right w:val="single" w:sz="4" w:space="0" w:color="auto"/>
            </w:tcBorders>
            <w:noWrap/>
            <w:vAlign w:val="bottom"/>
            <w:hideMark/>
          </w:tcPr>
          <w:p w14:paraId="70157875"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0.1</w:t>
            </w:r>
          </w:p>
        </w:tc>
        <w:tc>
          <w:tcPr>
            <w:tcW w:w="1080" w:type="dxa"/>
            <w:tcBorders>
              <w:top w:val="nil"/>
              <w:left w:val="nil"/>
              <w:bottom w:val="single" w:sz="4" w:space="0" w:color="auto"/>
              <w:right w:val="single" w:sz="4" w:space="0" w:color="auto"/>
            </w:tcBorders>
            <w:noWrap/>
            <w:vAlign w:val="bottom"/>
            <w:hideMark/>
          </w:tcPr>
          <w:p w14:paraId="02BB104D"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0.2</w:t>
            </w:r>
          </w:p>
        </w:tc>
      </w:tr>
      <w:tr w:rsidR="007F2FEE" w:rsidRPr="006A6789" w14:paraId="67689931" w14:textId="77777777" w:rsidTr="003B46DF">
        <w:trPr>
          <w:trHeight w:val="300"/>
          <w:jc w:val="center"/>
        </w:trPr>
        <w:tc>
          <w:tcPr>
            <w:tcW w:w="990" w:type="dxa"/>
            <w:tcBorders>
              <w:top w:val="nil"/>
              <w:left w:val="single" w:sz="4" w:space="0" w:color="auto"/>
              <w:bottom w:val="single" w:sz="4" w:space="0" w:color="auto"/>
              <w:right w:val="single" w:sz="4" w:space="0" w:color="auto"/>
            </w:tcBorders>
            <w:noWrap/>
            <w:vAlign w:val="bottom"/>
            <w:hideMark/>
          </w:tcPr>
          <w:p w14:paraId="3BB545EF"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720" w:type="dxa"/>
            <w:tcBorders>
              <w:top w:val="nil"/>
              <w:left w:val="nil"/>
              <w:bottom w:val="single" w:sz="4" w:space="0" w:color="auto"/>
              <w:right w:val="single" w:sz="4" w:space="0" w:color="auto"/>
            </w:tcBorders>
            <w:noWrap/>
            <w:vAlign w:val="bottom"/>
            <w:hideMark/>
          </w:tcPr>
          <w:p w14:paraId="3448C1BC"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720" w:type="dxa"/>
            <w:tcBorders>
              <w:top w:val="nil"/>
              <w:left w:val="nil"/>
              <w:bottom w:val="single" w:sz="4" w:space="0" w:color="auto"/>
              <w:right w:val="single" w:sz="4" w:space="0" w:color="auto"/>
            </w:tcBorders>
            <w:noWrap/>
            <w:vAlign w:val="bottom"/>
            <w:hideMark/>
          </w:tcPr>
          <w:p w14:paraId="663D0FF4"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630" w:type="dxa"/>
            <w:tcBorders>
              <w:top w:val="nil"/>
              <w:left w:val="nil"/>
              <w:bottom w:val="single" w:sz="4" w:space="0" w:color="auto"/>
              <w:right w:val="single" w:sz="4" w:space="0" w:color="auto"/>
            </w:tcBorders>
            <w:noWrap/>
            <w:vAlign w:val="bottom"/>
            <w:hideMark/>
          </w:tcPr>
          <w:p w14:paraId="4F99E87E"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1054" w:type="dxa"/>
            <w:tcBorders>
              <w:top w:val="nil"/>
              <w:left w:val="nil"/>
              <w:bottom w:val="single" w:sz="4" w:space="0" w:color="auto"/>
              <w:right w:val="single" w:sz="4" w:space="0" w:color="auto"/>
            </w:tcBorders>
            <w:noWrap/>
            <w:vAlign w:val="bottom"/>
            <w:hideMark/>
          </w:tcPr>
          <w:p w14:paraId="5E791658"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1027" w:type="dxa"/>
            <w:tcBorders>
              <w:top w:val="nil"/>
              <w:left w:val="nil"/>
              <w:bottom w:val="single" w:sz="4" w:space="0" w:color="auto"/>
              <w:right w:val="single" w:sz="4" w:space="0" w:color="auto"/>
            </w:tcBorders>
            <w:noWrap/>
            <w:vAlign w:val="bottom"/>
            <w:hideMark/>
          </w:tcPr>
          <w:p w14:paraId="665B0F60"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1080" w:type="dxa"/>
            <w:tcBorders>
              <w:top w:val="nil"/>
              <w:left w:val="nil"/>
              <w:bottom w:val="single" w:sz="4" w:space="0" w:color="auto"/>
              <w:right w:val="single" w:sz="4" w:space="0" w:color="auto"/>
            </w:tcBorders>
            <w:noWrap/>
            <w:vAlign w:val="bottom"/>
            <w:hideMark/>
          </w:tcPr>
          <w:p w14:paraId="4E69B4CF"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1260" w:type="dxa"/>
            <w:tcBorders>
              <w:top w:val="nil"/>
              <w:left w:val="nil"/>
              <w:bottom w:val="single" w:sz="4" w:space="0" w:color="auto"/>
              <w:right w:val="single" w:sz="4" w:space="0" w:color="auto"/>
            </w:tcBorders>
            <w:noWrap/>
            <w:vAlign w:val="bottom"/>
            <w:hideMark/>
          </w:tcPr>
          <w:p w14:paraId="484A485C"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614" w:type="dxa"/>
            <w:tcBorders>
              <w:top w:val="nil"/>
              <w:left w:val="nil"/>
              <w:bottom w:val="single" w:sz="4" w:space="0" w:color="auto"/>
              <w:right w:val="single" w:sz="4" w:space="0" w:color="auto"/>
            </w:tcBorders>
            <w:noWrap/>
            <w:vAlign w:val="bottom"/>
            <w:hideMark/>
          </w:tcPr>
          <w:p w14:paraId="64C6BF1F"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c>
          <w:tcPr>
            <w:tcW w:w="1080" w:type="dxa"/>
            <w:tcBorders>
              <w:top w:val="nil"/>
              <w:left w:val="nil"/>
              <w:bottom w:val="single" w:sz="4" w:space="0" w:color="auto"/>
              <w:right w:val="single" w:sz="4" w:space="0" w:color="auto"/>
            </w:tcBorders>
            <w:noWrap/>
            <w:vAlign w:val="bottom"/>
            <w:hideMark/>
          </w:tcPr>
          <w:p w14:paraId="379EEFF7"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w:t>
            </w:r>
          </w:p>
        </w:tc>
      </w:tr>
      <w:tr w:rsidR="007F2FEE" w:rsidRPr="006A6789" w14:paraId="7DC637DF" w14:textId="77777777" w:rsidTr="003B46DF">
        <w:trPr>
          <w:trHeight w:val="300"/>
          <w:jc w:val="center"/>
        </w:trPr>
        <w:tc>
          <w:tcPr>
            <w:tcW w:w="990" w:type="dxa"/>
            <w:tcBorders>
              <w:top w:val="nil"/>
              <w:left w:val="single" w:sz="4" w:space="0" w:color="auto"/>
              <w:bottom w:val="single" w:sz="4" w:space="0" w:color="auto"/>
              <w:right w:val="single" w:sz="4" w:space="0" w:color="auto"/>
            </w:tcBorders>
            <w:shd w:val="clear" w:color="000000" w:fill="FFFF00"/>
            <w:noWrap/>
            <w:vAlign w:val="bottom"/>
            <w:hideMark/>
          </w:tcPr>
          <w:p w14:paraId="32C9CB10"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Site 3</w:t>
            </w:r>
          </w:p>
        </w:tc>
        <w:tc>
          <w:tcPr>
            <w:tcW w:w="720" w:type="dxa"/>
            <w:tcBorders>
              <w:top w:val="nil"/>
              <w:left w:val="nil"/>
              <w:bottom w:val="single" w:sz="4" w:space="0" w:color="auto"/>
              <w:right w:val="single" w:sz="4" w:space="0" w:color="auto"/>
            </w:tcBorders>
            <w:shd w:val="clear" w:color="000000" w:fill="FFFF00"/>
            <w:noWrap/>
            <w:vAlign w:val="bottom"/>
            <w:hideMark/>
          </w:tcPr>
          <w:p w14:paraId="027FEBA0"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Q2</w:t>
            </w:r>
          </w:p>
        </w:tc>
        <w:tc>
          <w:tcPr>
            <w:tcW w:w="720" w:type="dxa"/>
            <w:tcBorders>
              <w:top w:val="nil"/>
              <w:left w:val="nil"/>
              <w:bottom w:val="single" w:sz="4" w:space="0" w:color="auto"/>
              <w:right w:val="single" w:sz="4" w:space="0" w:color="auto"/>
            </w:tcBorders>
            <w:shd w:val="clear" w:color="000000" w:fill="FFFF00"/>
            <w:noWrap/>
            <w:vAlign w:val="bottom"/>
            <w:hideMark/>
          </w:tcPr>
          <w:p w14:paraId="007EFF31"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Q3</w:t>
            </w:r>
          </w:p>
        </w:tc>
        <w:tc>
          <w:tcPr>
            <w:tcW w:w="630" w:type="dxa"/>
            <w:tcBorders>
              <w:top w:val="nil"/>
              <w:left w:val="nil"/>
              <w:bottom w:val="single" w:sz="4" w:space="0" w:color="auto"/>
              <w:right w:val="single" w:sz="4" w:space="0" w:color="auto"/>
            </w:tcBorders>
            <w:shd w:val="clear" w:color="000000" w:fill="FFFF00"/>
            <w:noWrap/>
            <w:vAlign w:val="bottom"/>
            <w:hideMark/>
          </w:tcPr>
          <w:p w14:paraId="2310B8C5"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Q4</w:t>
            </w:r>
          </w:p>
        </w:tc>
        <w:tc>
          <w:tcPr>
            <w:tcW w:w="1054" w:type="dxa"/>
            <w:tcBorders>
              <w:top w:val="nil"/>
              <w:left w:val="nil"/>
              <w:bottom w:val="single" w:sz="4" w:space="0" w:color="auto"/>
              <w:right w:val="single" w:sz="4" w:space="0" w:color="auto"/>
            </w:tcBorders>
            <w:shd w:val="clear" w:color="000000" w:fill="FFFF00"/>
            <w:noWrap/>
            <w:vAlign w:val="bottom"/>
            <w:hideMark/>
          </w:tcPr>
          <w:p w14:paraId="538D305B"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Average</w:t>
            </w:r>
          </w:p>
        </w:tc>
        <w:tc>
          <w:tcPr>
            <w:tcW w:w="1027" w:type="dxa"/>
            <w:tcBorders>
              <w:top w:val="nil"/>
              <w:left w:val="nil"/>
              <w:bottom w:val="single" w:sz="4" w:space="0" w:color="auto"/>
              <w:right w:val="single" w:sz="4" w:space="0" w:color="auto"/>
            </w:tcBorders>
            <w:noWrap/>
            <w:vAlign w:val="bottom"/>
            <w:hideMark/>
          </w:tcPr>
          <w:p w14:paraId="6A84F51A"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All Sites</w:t>
            </w:r>
          </w:p>
        </w:tc>
        <w:tc>
          <w:tcPr>
            <w:tcW w:w="1080" w:type="dxa"/>
            <w:tcBorders>
              <w:top w:val="nil"/>
              <w:left w:val="nil"/>
              <w:bottom w:val="single" w:sz="4" w:space="0" w:color="auto"/>
              <w:right w:val="single" w:sz="4" w:space="0" w:color="auto"/>
            </w:tcBorders>
            <w:noWrap/>
            <w:vAlign w:val="bottom"/>
            <w:hideMark/>
          </w:tcPr>
          <w:p w14:paraId="09BBC71B"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Average</w:t>
            </w:r>
          </w:p>
        </w:tc>
        <w:tc>
          <w:tcPr>
            <w:tcW w:w="1260" w:type="dxa"/>
            <w:tcBorders>
              <w:top w:val="nil"/>
              <w:left w:val="nil"/>
              <w:bottom w:val="single" w:sz="4" w:space="0" w:color="auto"/>
              <w:right w:val="single" w:sz="4" w:space="0" w:color="auto"/>
            </w:tcBorders>
            <w:noWrap/>
            <w:vAlign w:val="bottom"/>
            <w:hideMark/>
          </w:tcPr>
          <w:p w14:paraId="03D2166D"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r w:rsidRPr="006A6789">
              <w:rPr>
                <w:rFonts w:ascii="Aptos Narrow" w:eastAsia="Times New Roman" w:hAnsi="Aptos Narrow" w:cs="Times New Roman"/>
                <w:b/>
                <w:bCs/>
                <w:color w:val="000000"/>
                <w:kern w:val="0"/>
                <w:sz w:val="22"/>
                <w:szCs w:val="22"/>
                <w14:ligatures w14:val="none"/>
              </w:rPr>
              <w:t>St Dev</w:t>
            </w:r>
          </w:p>
        </w:tc>
        <w:tc>
          <w:tcPr>
            <w:tcW w:w="614" w:type="dxa"/>
            <w:tcBorders>
              <w:top w:val="nil"/>
              <w:left w:val="nil"/>
              <w:bottom w:val="nil"/>
              <w:right w:val="nil"/>
            </w:tcBorders>
            <w:noWrap/>
            <w:vAlign w:val="bottom"/>
            <w:hideMark/>
          </w:tcPr>
          <w:p w14:paraId="2DB30F3E" w14:textId="77777777" w:rsidR="007F2FEE" w:rsidRPr="006A6789" w:rsidRDefault="007F2FEE" w:rsidP="003B46DF">
            <w:pPr>
              <w:spacing w:after="0" w:line="240" w:lineRule="auto"/>
              <w:rPr>
                <w:rFonts w:ascii="Aptos Narrow" w:eastAsia="Times New Roman" w:hAnsi="Aptos Narrow" w:cs="Times New Roman"/>
                <w:b/>
                <w:bCs/>
                <w:color w:val="000000"/>
                <w:kern w:val="0"/>
                <w:sz w:val="22"/>
                <w:szCs w:val="22"/>
                <w14:ligatures w14:val="none"/>
              </w:rPr>
            </w:pPr>
          </w:p>
        </w:tc>
        <w:tc>
          <w:tcPr>
            <w:tcW w:w="1080" w:type="dxa"/>
            <w:tcBorders>
              <w:top w:val="nil"/>
              <w:left w:val="nil"/>
              <w:bottom w:val="nil"/>
              <w:right w:val="nil"/>
            </w:tcBorders>
            <w:noWrap/>
            <w:vAlign w:val="bottom"/>
            <w:hideMark/>
          </w:tcPr>
          <w:p w14:paraId="495C877A" w14:textId="77777777" w:rsidR="007F2FEE" w:rsidRPr="006A6789" w:rsidRDefault="007F2FEE" w:rsidP="003B46DF">
            <w:pPr>
              <w:spacing w:after="0" w:line="240" w:lineRule="auto"/>
              <w:rPr>
                <w:rFonts w:ascii="Times New Roman" w:eastAsia="Times New Roman" w:hAnsi="Times New Roman" w:cs="Times New Roman"/>
                <w:kern w:val="0"/>
                <w:sz w:val="20"/>
                <w:szCs w:val="20"/>
                <w14:ligatures w14:val="none"/>
              </w:rPr>
            </w:pPr>
          </w:p>
        </w:tc>
      </w:tr>
      <w:tr w:rsidR="007F2FEE" w:rsidRPr="006A6789" w14:paraId="3FCE8DDD" w14:textId="77777777" w:rsidTr="003B46DF">
        <w:trPr>
          <w:trHeight w:val="300"/>
          <w:jc w:val="center"/>
        </w:trPr>
        <w:tc>
          <w:tcPr>
            <w:tcW w:w="990" w:type="dxa"/>
            <w:tcBorders>
              <w:top w:val="nil"/>
              <w:left w:val="single" w:sz="4" w:space="0" w:color="auto"/>
              <w:bottom w:val="single" w:sz="4" w:space="0" w:color="auto"/>
              <w:right w:val="single" w:sz="4" w:space="0" w:color="auto"/>
            </w:tcBorders>
            <w:noWrap/>
            <w:vAlign w:val="bottom"/>
            <w:hideMark/>
          </w:tcPr>
          <w:p w14:paraId="385A5D13"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 xml:space="preserve">Native </w:t>
            </w:r>
          </w:p>
        </w:tc>
        <w:tc>
          <w:tcPr>
            <w:tcW w:w="720" w:type="dxa"/>
            <w:tcBorders>
              <w:top w:val="nil"/>
              <w:left w:val="nil"/>
              <w:bottom w:val="single" w:sz="4" w:space="0" w:color="auto"/>
              <w:right w:val="single" w:sz="4" w:space="0" w:color="auto"/>
            </w:tcBorders>
            <w:noWrap/>
            <w:vAlign w:val="bottom"/>
            <w:hideMark/>
          </w:tcPr>
          <w:p w14:paraId="7DB16D80"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0.8</w:t>
            </w:r>
          </w:p>
        </w:tc>
        <w:tc>
          <w:tcPr>
            <w:tcW w:w="720" w:type="dxa"/>
            <w:tcBorders>
              <w:top w:val="nil"/>
              <w:left w:val="nil"/>
              <w:bottom w:val="single" w:sz="4" w:space="0" w:color="auto"/>
              <w:right w:val="single" w:sz="4" w:space="0" w:color="auto"/>
            </w:tcBorders>
            <w:noWrap/>
            <w:vAlign w:val="bottom"/>
            <w:hideMark/>
          </w:tcPr>
          <w:p w14:paraId="1AC2D245"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0.8</w:t>
            </w:r>
          </w:p>
        </w:tc>
        <w:tc>
          <w:tcPr>
            <w:tcW w:w="630" w:type="dxa"/>
            <w:tcBorders>
              <w:top w:val="nil"/>
              <w:left w:val="nil"/>
              <w:bottom w:val="single" w:sz="4" w:space="0" w:color="auto"/>
              <w:right w:val="single" w:sz="4" w:space="0" w:color="auto"/>
            </w:tcBorders>
            <w:noWrap/>
            <w:vAlign w:val="bottom"/>
            <w:hideMark/>
          </w:tcPr>
          <w:p w14:paraId="3F0963D4"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1</w:t>
            </w:r>
          </w:p>
        </w:tc>
        <w:tc>
          <w:tcPr>
            <w:tcW w:w="1054" w:type="dxa"/>
            <w:tcBorders>
              <w:top w:val="nil"/>
              <w:left w:val="nil"/>
              <w:bottom w:val="single" w:sz="4" w:space="0" w:color="auto"/>
              <w:right w:val="single" w:sz="4" w:space="0" w:color="auto"/>
            </w:tcBorders>
            <w:noWrap/>
            <w:vAlign w:val="bottom"/>
            <w:hideMark/>
          </w:tcPr>
          <w:p w14:paraId="66478FC9"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0.866667</w:t>
            </w:r>
          </w:p>
        </w:tc>
        <w:tc>
          <w:tcPr>
            <w:tcW w:w="1027" w:type="dxa"/>
            <w:tcBorders>
              <w:top w:val="nil"/>
              <w:left w:val="nil"/>
              <w:bottom w:val="single" w:sz="4" w:space="0" w:color="auto"/>
              <w:right w:val="single" w:sz="4" w:space="0" w:color="auto"/>
            </w:tcBorders>
            <w:noWrap/>
            <w:vAlign w:val="bottom"/>
            <w:hideMark/>
          </w:tcPr>
          <w:p w14:paraId="6263EEB4"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Native</w:t>
            </w:r>
          </w:p>
        </w:tc>
        <w:tc>
          <w:tcPr>
            <w:tcW w:w="1080" w:type="dxa"/>
            <w:tcBorders>
              <w:top w:val="nil"/>
              <w:left w:val="nil"/>
              <w:bottom w:val="single" w:sz="4" w:space="0" w:color="auto"/>
              <w:right w:val="single" w:sz="4" w:space="0" w:color="auto"/>
            </w:tcBorders>
            <w:noWrap/>
            <w:vAlign w:val="bottom"/>
            <w:hideMark/>
          </w:tcPr>
          <w:p w14:paraId="2EC963AE"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0.846667</w:t>
            </w:r>
          </w:p>
        </w:tc>
        <w:tc>
          <w:tcPr>
            <w:tcW w:w="1260" w:type="dxa"/>
            <w:tcBorders>
              <w:top w:val="nil"/>
              <w:left w:val="nil"/>
              <w:bottom w:val="single" w:sz="4" w:space="0" w:color="auto"/>
              <w:right w:val="single" w:sz="4" w:space="0" w:color="auto"/>
            </w:tcBorders>
            <w:noWrap/>
            <w:vAlign w:val="bottom"/>
            <w:hideMark/>
          </w:tcPr>
          <w:p w14:paraId="7F01E073"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0.357408</w:t>
            </w:r>
          </w:p>
        </w:tc>
        <w:tc>
          <w:tcPr>
            <w:tcW w:w="614" w:type="dxa"/>
            <w:tcBorders>
              <w:top w:val="nil"/>
              <w:left w:val="nil"/>
              <w:bottom w:val="nil"/>
              <w:right w:val="nil"/>
            </w:tcBorders>
            <w:noWrap/>
            <w:vAlign w:val="bottom"/>
            <w:hideMark/>
          </w:tcPr>
          <w:p w14:paraId="060C9E9B"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p>
        </w:tc>
        <w:tc>
          <w:tcPr>
            <w:tcW w:w="1080" w:type="dxa"/>
            <w:tcBorders>
              <w:top w:val="nil"/>
              <w:left w:val="nil"/>
              <w:bottom w:val="nil"/>
              <w:right w:val="nil"/>
            </w:tcBorders>
            <w:noWrap/>
            <w:vAlign w:val="bottom"/>
            <w:hideMark/>
          </w:tcPr>
          <w:p w14:paraId="2D2D597B" w14:textId="77777777" w:rsidR="007F2FEE" w:rsidRPr="006A6789" w:rsidRDefault="007F2FEE" w:rsidP="003B46DF">
            <w:pPr>
              <w:spacing w:after="0" w:line="240" w:lineRule="auto"/>
              <w:rPr>
                <w:rFonts w:ascii="Times New Roman" w:eastAsia="Times New Roman" w:hAnsi="Times New Roman" w:cs="Times New Roman"/>
                <w:kern w:val="0"/>
                <w:sz w:val="20"/>
                <w:szCs w:val="20"/>
                <w14:ligatures w14:val="none"/>
              </w:rPr>
            </w:pPr>
          </w:p>
        </w:tc>
      </w:tr>
      <w:tr w:rsidR="007F2FEE" w:rsidRPr="006A6789" w14:paraId="7D08499F" w14:textId="77777777" w:rsidTr="003B46DF">
        <w:trPr>
          <w:trHeight w:val="300"/>
          <w:jc w:val="center"/>
        </w:trPr>
        <w:tc>
          <w:tcPr>
            <w:tcW w:w="990" w:type="dxa"/>
            <w:tcBorders>
              <w:top w:val="nil"/>
              <w:left w:val="single" w:sz="4" w:space="0" w:color="auto"/>
              <w:bottom w:val="single" w:sz="4" w:space="0" w:color="auto"/>
              <w:right w:val="single" w:sz="4" w:space="0" w:color="auto"/>
            </w:tcBorders>
            <w:noWrap/>
            <w:vAlign w:val="bottom"/>
            <w:hideMark/>
          </w:tcPr>
          <w:p w14:paraId="72252A61"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Invasive</w:t>
            </w:r>
          </w:p>
        </w:tc>
        <w:tc>
          <w:tcPr>
            <w:tcW w:w="720" w:type="dxa"/>
            <w:tcBorders>
              <w:top w:val="nil"/>
              <w:left w:val="nil"/>
              <w:bottom w:val="single" w:sz="4" w:space="0" w:color="auto"/>
              <w:right w:val="single" w:sz="4" w:space="0" w:color="auto"/>
            </w:tcBorders>
            <w:noWrap/>
            <w:vAlign w:val="bottom"/>
            <w:hideMark/>
          </w:tcPr>
          <w:p w14:paraId="16D7B5F0"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0.2</w:t>
            </w:r>
          </w:p>
        </w:tc>
        <w:tc>
          <w:tcPr>
            <w:tcW w:w="720" w:type="dxa"/>
            <w:tcBorders>
              <w:top w:val="nil"/>
              <w:left w:val="nil"/>
              <w:bottom w:val="single" w:sz="4" w:space="0" w:color="auto"/>
              <w:right w:val="single" w:sz="4" w:space="0" w:color="auto"/>
            </w:tcBorders>
            <w:noWrap/>
            <w:vAlign w:val="bottom"/>
            <w:hideMark/>
          </w:tcPr>
          <w:p w14:paraId="6C6B84D6"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w:t>
            </w:r>
          </w:p>
        </w:tc>
        <w:tc>
          <w:tcPr>
            <w:tcW w:w="630" w:type="dxa"/>
            <w:tcBorders>
              <w:top w:val="nil"/>
              <w:left w:val="nil"/>
              <w:bottom w:val="single" w:sz="4" w:space="0" w:color="auto"/>
              <w:right w:val="single" w:sz="4" w:space="0" w:color="auto"/>
            </w:tcBorders>
            <w:noWrap/>
            <w:vAlign w:val="bottom"/>
            <w:hideMark/>
          </w:tcPr>
          <w:p w14:paraId="73D3FEF9"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w:t>
            </w:r>
          </w:p>
        </w:tc>
        <w:tc>
          <w:tcPr>
            <w:tcW w:w="1054" w:type="dxa"/>
            <w:tcBorders>
              <w:top w:val="nil"/>
              <w:left w:val="nil"/>
              <w:bottom w:val="single" w:sz="4" w:space="0" w:color="auto"/>
              <w:right w:val="single" w:sz="4" w:space="0" w:color="auto"/>
            </w:tcBorders>
            <w:noWrap/>
            <w:vAlign w:val="bottom"/>
            <w:hideMark/>
          </w:tcPr>
          <w:p w14:paraId="26E992C4"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0.066667</w:t>
            </w:r>
          </w:p>
        </w:tc>
        <w:tc>
          <w:tcPr>
            <w:tcW w:w="1027" w:type="dxa"/>
            <w:tcBorders>
              <w:top w:val="nil"/>
              <w:left w:val="nil"/>
              <w:bottom w:val="single" w:sz="4" w:space="0" w:color="auto"/>
              <w:right w:val="single" w:sz="4" w:space="0" w:color="auto"/>
            </w:tcBorders>
            <w:noWrap/>
            <w:vAlign w:val="bottom"/>
            <w:hideMark/>
          </w:tcPr>
          <w:p w14:paraId="69B029DD"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Invasive</w:t>
            </w:r>
          </w:p>
        </w:tc>
        <w:tc>
          <w:tcPr>
            <w:tcW w:w="1080" w:type="dxa"/>
            <w:tcBorders>
              <w:top w:val="nil"/>
              <w:left w:val="nil"/>
              <w:bottom w:val="single" w:sz="4" w:space="0" w:color="auto"/>
              <w:right w:val="single" w:sz="4" w:space="0" w:color="auto"/>
            </w:tcBorders>
            <w:noWrap/>
            <w:vAlign w:val="bottom"/>
            <w:hideMark/>
          </w:tcPr>
          <w:p w14:paraId="2642FA20"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0.063333</w:t>
            </w:r>
          </w:p>
        </w:tc>
        <w:tc>
          <w:tcPr>
            <w:tcW w:w="1260" w:type="dxa"/>
            <w:tcBorders>
              <w:top w:val="nil"/>
              <w:left w:val="nil"/>
              <w:bottom w:val="single" w:sz="4" w:space="0" w:color="auto"/>
              <w:right w:val="single" w:sz="4" w:space="0" w:color="auto"/>
            </w:tcBorders>
            <w:noWrap/>
            <w:vAlign w:val="bottom"/>
            <w:hideMark/>
          </w:tcPr>
          <w:p w14:paraId="7282543F"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0.042709</w:t>
            </w:r>
          </w:p>
        </w:tc>
        <w:tc>
          <w:tcPr>
            <w:tcW w:w="614" w:type="dxa"/>
            <w:tcBorders>
              <w:top w:val="nil"/>
              <w:left w:val="nil"/>
              <w:bottom w:val="nil"/>
              <w:right w:val="nil"/>
            </w:tcBorders>
            <w:noWrap/>
            <w:vAlign w:val="bottom"/>
            <w:hideMark/>
          </w:tcPr>
          <w:p w14:paraId="0CE6DEB0"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p>
        </w:tc>
        <w:tc>
          <w:tcPr>
            <w:tcW w:w="1080" w:type="dxa"/>
            <w:tcBorders>
              <w:top w:val="nil"/>
              <w:left w:val="nil"/>
              <w:bottom w:val="nil"/>
              <w:right w:val="nil"/>
            </w:tcBorders>
            <w:noWrap/>
            <w:vAlign w:val="bottom"/>
            <w:hideMark/>
          </w:tcPr>
          <w:p w14:paraId="0FF9CBB3" w14:textId="77777777" w:rsidR="007F2FEE" w:rsidRPr="006A6789" w:rsidRDefault="007F2FEE" w:rsidP="003B46DF">
            <w:pPr>
              <w:spacing w:after="0" w:line="240" w:lineRule="auto"/>
              <w:rPr>
                <w:rFonts w:ascii="Times New Roman" w:eastAsia="Times New Roman" w:hAnsi="Times New Roman" w:cs="Times New Roman"/>
                <w:kern w:val="0"/>
                <w:sz w:val="20"/>
                <w:szCs w:val="20"/>
                <w14:ligatures w14:val="none"/>
              </w:rPr>
            </w:pPr>
          </w:p>
        </w:tc>
      </w:tr>
      <w:tr w:rsidR="007F2FEE" w:rsidRPr="006A6789" w14:paraId="0150F709" w14:textId="77777777" w:rsidTr="003B46DF">
        <w:trPr>
          <w:trHeight w:val="300"/>
          <w:jc w:val="center"/>
        </w:trPr>
        <w:tc>
          <w:tcPr>
            <w:tcW w:w="990" w:type="dxa"/>
            <w:tcBorders>
              <w:top w:val="nil"/>
              <w:left w:val="single" w:sz="4" w:space="0" w:color="auto"/>
              <w:bottom w:val="single" w:sz="4" w:space="0" w:color="auto"/>
              <w:right w:val="single" w:sz="4" w:space="0" w:color="auto"/>
            </w:tcBorders>
            <w:noWrap/>
            <w:vAlign w:val="bottom"/>
            <w:hideMark/>
          </w:tcPr>
          <w:p w14:paraId="41FD506C"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BG</w:t>
            </w:r>
          </w:p>
        </w:tc>
        <w:tc>
          <w:tcPr>
            <w:tcW w:w="720" w:type="dxa"/>
            <w:tcBorders>
              <w:top w:val="nil"/>
              <w:left w:val="nil"/>
              <w:bottom w:val="single" w:sz="4" w:space="0" w:color="auto"/>
              <w:right w:val="single" w:sz="4" w:space="0" w:color="auto"/>
            </w:tcBorders>
            <w:noWrap/>
            <w:vAlign w:val="bottom"/>
            <w:hideMark/>
          </w:tcPr>
          <w:p w14:paraId="2E031C39"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w:t>
            </w:r>
          </w:p>
        </w:tc>
        <w:tc>
          <w:tcPr>
            <w:tcW w:w="720" w:type="dxa"/>
            <w:tcBorders>
              <w:top w:val="nil"/>
              <w:left w:val="nil"/>
              <w:bottom w:val="single" w:sz="4" w:space="0" w:color="auto"/>
              <w:right w:val="single" w:sz="4" w:space="0" w:color="auto"/>
            </w:tcBorders>
            <w:noWrap/>
            <w:vAlign w:val="bottom"/>
            <w:hideMark/>
          </w:tcPr>
          <w:p w14:paraId="485E7A24"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0.2</w:t>
            </w:r>
          </w:p>
        </w:tc>
        <w:tc>
          <w:tcPr>
            <w:tcW w:w="630" w:type="dxa"/>
            <w:tcBorders>
              <w:top w:val="nil"/>
              <w:left w:val="nil"/>
              <w:bottom w:val="single" w:sz="4" w:space="0" w:color="auto"/>
              <w:right w:val="single" w:sz="4" w:space="0" w:color="auto"/>
            </w:tcBorders>
            <w:noWrap/>
            <w:vAlign w:val="bottom"/>
            <w:hideMark/>
          </w:tcPr>
          <w:p w14:paraId="6B80A333"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w:t>
            </w:r>
          </w:p>
        </w:tc>
        <w:tc>
          <w:tcPr>
            <w:tcW w:w="1054" w:type="dxa"/>
            <w:tcBorders>
              <w:top w:val="nil"/>
              <w:left w:val="nil"/>
              <w:bottom w:val="single" w:sz="4" w:space="0" w:color="auto"/>
              <w:right w:val="single" w:sz="4" w:space="0" w:color="auto"/>
            </w:tcBorders>
            <w:noWrap/>
            <w:vAlign w:val="bottom"/>
            <w:hideMark/>
          </w:tcPr>
          <w:p w14:paraId="4101B97D"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0.066667</w:t>
            </w:r>
          </w:p>
        </w:tc>
        <w:tc>
          <w:tcPr>
            <w:tcW w:w="1027" w:type="dxa"/>
            <w:tcBorders>
              <w:top w:val="nil"/>
              <w:left w:val="nil"/>
              <w:bottom w:val="single" w:sz="4" w:space="0" w:color="auto"/>
              <w:right w:val="single" w:sz="4" w:space="0" w:color="auto"/>
            </w:tcBorders>
            <w:noWrap/>
            <w:vAlign w:val="bottom"/>
            <w:hideMark/>
          </w:tcPr>
          <w:p w14:paraId="7A35C1DB" w14:textId="77777777" w:rsidR="007F2FEE" w:rsidRPr="006A6789" w:rsidRDefault="007F2FEE" w:rsidP="003B46DF">
            <w:pPr>
              <w:spacing w:after="0" w:line="240" w:lineRule="auto"/>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BG</w:t>
            </w:r>
          </w:p>
        </w:tc>
        <w:tc>
          <w:tcPr>
            <w:tcW w:w="1080" w:type="dxa"/>
            <w:tcBorders>
              <w:top w:val="nil"/>
              <w:left w:val="nil"/>
              <w:bottom w:val="single" w:sz="4" w:space="0" w:color="auto"/>
              <w:right w:val="single" w:sz="4" w:space="0" w:color="auto"/>
            </w:tcBorders>
            <w:noWrap/>
            <w:vAlign w:val="bottom"/>
            <w:hideMark/>
          </w:tcPr>
          <w:p w14:paraId="7B5AD967"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0.09</w:t>
            </w:r>
          </w:p>
        </w:tc>
        <w:tc>
          <w:tcPr>
            <w:tcW w:w="1260" w:type="dxa"/>
            <w:tcBorders>
              <w:top w:val="nil"/>
              <w:left w:val="nil"/>
              <w:bottom w:val="single" w:sz="4" w:space="0" w:color="auto"/>
              <w:right w:val="single" w:sz="4" w:space="0" w:color="auto"/>
            </w:tcBorders>
            <w:noWrap/>
            <w:vAlign w:val="bottom"/>
            <w:hideMark/>
          </w:tcPr>
          <w:p w14:paraId="67534584"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r w:rsidRPr="006A6789">
              <w:rPr>
                <w:rFonts w:ascii="Aptos Narrow" w:eastAsia="Times New Roman" w:hAnsi="Aptos Narrow" w:cs="Times New Roman"/>
                <w:color w:val="000000"/>
                <w:kern w:val="0"/>
                <w:sz w:val="22"/>
                <w:szCs w:val="22"/>
                <w14:ligatures w14:val="none"/>
              </w:rPr>
              <w:t>0.071297</w:t>
            </w:r>
          </w:p>
        </w:tc>
        <w:tc>
          <w:tcPr>
            <w:tcW w:w="614" w:type="dxa"/>
            <w:tcBorders>
              <w:top w:val="nil"/>
              <w:left w:val="nil"/>
              <w:bottom w:val="nil"/>
              <w:right w:val="nil"/>
            </w:tcBorders>
            <w:noWrap/>
            <w:vAlign w:val="bottom"/>
            <w:hideMark/>
          </w:tcPr>
          <w:p w14:paraId="009ED7F6" w14:textId="77777777" w:rsidR="007F2FEE" w:rsidRPr="006A6789" w:rsidRDefault="007F2FEE" w:rsidP="003B46DF">
            <w:pPr>
              <w:spacing w:after="0" w:line="240" w:lineRule="auto"/>
              <w:jc w:val="right"/>
              <w:rPr>
                <w:rFonts w:ascii="Aptos Narrow" w:eastAsia="Times New Roman" w:hAnsi="Aptos Narrow" w:cs="Times New Roman"/>
                <w:color w:val="000000"/>
                <w:kern w:val="0"/>
                <w:sz w:val="22"/>
                <w:szCs w:val="22"/>
                <w14:ligatures w14:val="none"/>
              </w:rPr>
            </w:pPr>
          </w:p>
        </w:tc>
        <w:tc>
          <w:tcPr>
            <w:tcW w:w="1080" w:type="dxa"/>
            <w:tcBorders>
              <w:top w:val="nil"/>
              <w:left w:val="nil"/>
              <w:bottom w:val="nil"/>
              <w:right w:val="nil"/>
            </w:tcBorders>
            <w:noWrap/>
            <w:vAlign w:val="bottom"/>
            <w:hideMark/>
          </w:tcPr>
          <w:p w14:paraId="68CFA745" w14:textId="77777777" w:rsidR="007F2FEE" w:rsidRPr="006A6789" w:rsidRDefault="007F2FEE" w:rsidP="003B46DF">
            <w:pPr>
              <w:spacing w:after="0" w:line="240" w:lineRule="auto"/>
              <w:rPr>
                <w:rFonts w:ascii="Times New Roman" w:eastAsia="Times New Roman" w:hAnsi="Times New Roman" w:cs="Times New Roman"/>
                <w:kern w:val="0"/>
                <w:sz w:val="20"/>
                <w:szCs w:val="20"/>
                <w14:ligatures w14:val="none"/>
              </w:rPr>
            </w:pPr>
          </w:p>
        </w:tc>
      </w:tr>
    </w:tbl>
    <w:p w14:paraId="72304B6F" w14:textId="77777777" w:rsidR="007F2FEE" w:rsidRDefault="007F2FEE" w:rsidP="007F2FEE">
      <w:pPr>
        <w:spacing w:line="276" w:lineRule="auto"/>
        <w:rPr>
          <w:rFonts w:ascii="Times New Roman" w:hAnsi="Times New Roman" w:cs="Times New Roman"/>
        </w:rPr>
      </w:pPr>
      <w:r w:rsidRPr="007F2FEE">
        <w:rPr>
          <w:rFonts w:ascii="Times New Roman" w:hAnsi="Times New Roman" w:cs="Times New Roman"/>
          <w:b/>
          <w:bCs/>
        </w:rPr>
        <w:t>Table 3.</w:t>
      </w:r>
      <w:r w:rsidRPr="007F2FEE">
        <w:rPr>
          <w:rFonts w:ascii="Times New Roman" w:hAnsi="Times New Roman" w:cs="Times New Roman"/>
        </w:rPr>
        <w:t xml:space="preserve"> Vegetation Cover across each of the 5 sites. Each color coordinated section includes the data from a different site. The last section includes compiled data across all sites. Important Note, the data is given in this table as decimals but presented as percentages in the remainder of the report. This is to give more exact numbers for the average and standard deviation calculations.</w:t>
      </w:r>
    </w:p>
    <w:p w14:paraId="58985BD5" w14:textId="3B8E72B2" w:rsidR="007A615F" w:rsidRDefault="007A615F" w:rsidP="007F2FEE">
      <w:pPr>
        <w:spacing w:line="276" w:lineRule="auto"/>
        <w:rPr>
          <w:rFonts w:ascii="Times New Roman" w:hAnsi="Times New Roman" w:cs="Times New Roman"/>
        </w:rPr>
      </w:pPr>
      <w:r>
        <w:rPr>
          <w:rFonts w:ascii="Times New Roman" w:hAnsi="Times New Roman" w:cs="Times New Roman"/>
        </w:rPr>
        <w:t>Flaws In study Design:</w:t>
      </w:r>
    </w:p>
    <w:p w14:paraId="0539402C" w14:textId="79F99319" w:rsidR="007A615F" w:rsidRDefault="007A615F" w:rsidP="007A615F">
      <w:pPr>
        <w:spacing w:line="276" w:lineRule="auto"/>
        <w:rPr>
          <w:rFonts w:ascii="Times New Roman" w:hAnsi="Times New Roman" w:cs="Times New Roman"/>
        </w:rPr>
      </w:pPr>
      <w:r>
        <w:rPr>
          <w:rFonts w:ascii="Times New Roman" w:hAnsi="Times New Roman" w:cs="Times New Roman"/>
        </w:rPr>
        <w:t xml:space="preserve">There </w:t>
      </w:r>
      <w:r w:rsidRPr="007A615F">
        <w:rPr>
          <w:rFonts w:ascii="Times New Roman" w:hAnsi="Times New Roman" w:cs="Times New Roman"/>
        </w:rPr>
        <w:t>are flaws in these metrics</w:t>
      </w:r>
      <w:r>
        <w:rPr>
          <w:rFonts w:ascii="Times New Roman" w:hAnsi="Times New Roman" w:cs="Times New Roman"/>
        </w:rPr>
        <w:t>, which were established by the client prior to the internship period,</w:t>
      </w:r>
      <w:r w:rsidRPr="007A615F">
        <w:rPr>
          <w:rFonts w:ascii="Times New Roman" w:hAnsi="Times New Roman" w:cs="Times New Roman"/>
        </w:rPr>
        <w:t xml:space="preserve"> and </w:t>
      </w:r>
      <w:r w:rsidRPr="007A615F">
        <w:rPr>
          <w:rFonts w:ascii="Times New Roman" w:hAnsi="Times New Roman" w:cs="Times New Roman"/>
        </w:rPr>
        <w:t>these numbers</w:t>
      </w:r>
      <w:r w:rsidRPr="007A615F">
        <w:rPr>
          <w:rFonts w:ascii="Times New Roman" w:hAnsi="Times New Roman" w:cs="Times New Roman"/>
        </w:rPr>
        <w:t xml:space="preserve"> do not reflect the full story</w:t>
      </w:r>
      <w:r>
        <w:rPr>
          <w:rFonts w:ascii="Times New Roman" w:hAnsi="Times New Roman" w:cs="Times New Roman"/>
        </w:rPr>
        <w:t xml:space="preserve">. </w:t>
      </w:r>
      <w:r w:rsidRPr="007A615F">
        <w:rPr>
          <w:rFonts w:ascii="Times New Roman" w:hAnsi="Times New Roman" w:cs="Times New Roman"/>
        </w:rPr>
        <w:t>Starting with Percent Native Ground Cover</w:t>
      </w:r>
      <w:r>
        <w:rPr>
          <w:rFonts w:ascii="Times New Roman" w:hAnsi="Times New Roman" w:cs="Times New Roman"/>
        </w:rPr>
        <w:t>, o</w:t>
      </w:r>
      <w:r w:rsidRPr="007A615F">
        <w:rPr>
          <w:rFonts w:ascii="Times New Roman" w:hAnsi="Times New Roman" w:cs="Times New Roman"/>
        </w:rPr>
        <w:t xml:space="preserve">nly 10-20 data points were collected at each mitigation </w:t>
      </w:r>
      <w:r w:rsidRPr="007A615F">
        <w:rPr>
          <w:rFonts w:ascii="Times New Roman" w:hAnsi="Times New Roman" w:cs="Times New Roman"/>
        </w:rPr>
        <w:t>site. This</w:t>
      </w:r>
      <w:r w:rsidRPr="007A615F">
        <w:rPr>
          <w:rFonts w:ascii="Times New Roman" w:hAnsi="Times New Roman" w:cs="Times New Roman"/>
        </w:rPr>
        <w:t xml:space="preserve"> is too small of sample size to accurately estimate ground cover or calculate an average for entire mitigation area.</w:t>
      </w:r>
      <w:r>
        <w:rPr>
          <w:rFonts w:ascii="Times New Roman" w:hAnsi="Times New Roman" w:cs="Times New Roman"/>
        </w:rPr>
        <w:t xml:space="preserve"> </w:t>
      </w:r>
      <w:r w:rsidRPr="007A615F">
        <w:rPr>
          <w:rFonts w:ascii="Times New Roman" w:hAnsi="Times New Roman" w:cs="Times New Roman"/>
        </w:rPr>
        <w:t>It also opens the door for outliers to have a significant impact on the data.</w:t>
      </w:r>
      <w:r>
        <w:rPr>
          <w:rFonts w:ascii="Times New Roman" w:hAnsi="Times New Roman" w:cs="Times New Roman"/>
        </w:rPr>
        <w:t xml:space="preserve"> </w:t>
      </w:r>
      <w:r w:rsidRPr="007A615F">
        <w:rPr>
          <w:rFonts w:ascii="Times New Roman" w:hAnsi="Times New Roman" w:cs="Times New Roman"/>
        </w:rPr>
        <w:t xml:space="preserve">For an example, in quarter 4 </w:t>
      </w:r>
      <w:r w:rsidRPr="007A615F">
        <w:rPr>
          <w:rFonts w:ascii="Times New Roman" w:hAnsi="Times New Roman" w:cs="Times New Roman"/>
        </w:rPr>
        <w:lastRenderedPageBreak/>
        <w:t>mitigation site 1 had two hits of Russian thistle on the transect, which is an</w:t>
      </w:r>
      <w:r>
        <w:rPr>
          <w:rFonts w:ascii="Times New Roman" w:hAnsi="Times New Roman" w:cs="Times New Roman"/>
        </w:rPr>
        <w:t xml:space="preserve"> </w:t>
      </w:r>
      <w:r w:rsidRPr="007A615F">
        <w:rPr>
          <w:rFonts w:ascii="Times New Roman" w:hAnsi="Times New Roman" w:cs="Times New Roman"/>
        </w:rPr>
        <w:t xml:space="preserve">invasive species here. There were less than 10 individual Russian </w:t>
      </w:r>
      <w:r w:rsidRPr="007A615F">
        <w:rPr>
          <w:rFonts w:ascii="Times New Roman" w:hAnsi="Times New Roman" w:cs="Times New Roman"/>
        </w:rPr>
        <w:t>thistles</w:t>
      </w:r>
      <w:r w:rsidRPr="007A615F">
        <w:rPr>
          <w:rFonts w:ascii="Times New Roman" w:hAnsi="Times New Roman" w:cs="Times New Roman"/>
        </w:rPr>
        <w:t xml:space="preserve"> within site 1 but because 2 of them appeared on the transect the data would suggest that they made up 20% of the ground cover at the site.  </w:t>
      </w:r>
    </w:p>
    <w:p w14:paraId="649209FC" w14:textId="3964D5A0" w:rsidR="00021E7B" w:rsidRPr="00021E7B" w:rsidRDefault="00021E7B" w:rsidP="00021E7B">
      <w:pPr>
        <w:spacing w:line="276" w:lineRule="auto"/>
        <w:rPr>
          <w:rFonts w:ascii="Times New Roman" w:hAnsi="Times New Roman" w:cs="Times New Roman"/>
        </w:rPr>
      </w:pPr>
      <w:r w:rsidRPr="00021E7B">
        <w:rPr>
          <w:rFonts w:ascii="Times New Roman" w:hAnsi="Times New Roman" w:cs="Times New Roman"/>
        </w:rPr>
        <w:t>Vegetation Health Classification</w:t>
      </w:r>
      <w:r>
        <w:rPr>
          <w:rFonts w:ascii="Times New Roman" w:hAnsi="Times New Roman" w:cs="Times New Roman"/>
        </w:rPr>
        <w:t xml:space="preserve"> Is also a flawed metric</w:t>
      </w:r>
      <w:r w:rsidRPr="00021E7B">
        <w:rPr>
          <w:rFonts w:ascii="Times New Roman" w:hAnsi="Times New Roman" w:cs="Times New Roman"/>
        </w:rPr>
        <w:t xml:space="preserve">. </w:t>
      </w:r>
      <w:r>
        <w:rPr>
          <w:rFonts w:ascii="Times New Roman" w:hAnsi="Times New Roman" w:cs="Times New Roman"/>
        </w:rPr>
        <w:t>T</w:t>
      </w:r>
      <w:r w:rsidRPr="00021E7B">
        <w:rPr>
          <w:rFonts w:ascii="Times New Roman" w:hAnsi="Times New Roman" w:cs="Times New Roman"/>
        </w:rPr>
        <w:t xml:space="preserve">his metric is </w:t>
      </w:r>
      <w:r w:rsidRPr="00021E7B">
        <w:rPr>
          <w:rFonts w:ascii="Times New Roman" w:hAnsi="Times New Roman" w:cs="Times New Roman"/>
        </w:rPr>
        <w:t>arbitrary</w:t>
      </w:r>
      <w:r>
        <w:rPr>
          <w:rFonts w:ascii="Times New Roman" w:hAnsi="Times New Roman" w:cs="Times New Roman"/>
        </w:rPr>
        <w:t>; i</w:t>
      </w:r>
      <w:r w:rsidRPr="00021E7B">
        <w:rPr>
          <w:rFonts w:ascii="Times New Roman" w:hAnsi="Times New Roman" w:cs="Times New Roman"/>
        </w:rPr>
        <w:t>t is not backed by data and is only based on visual inspection of the site.</w:t>
      </w:r>
      <w:r>
        <w:rPr>
          <w:rFonts w:ascii="Times New Roman" w:hAnsi="Times New Roman" w:cs="Times New Roman"/>
        </w:rPr>
        <w:t xml:space="preserve"> </w:t>
      </w:r>
      <w:r w:rsidRPr="00021E7B">
        <w:rPr>
          <w:rFonts w:ascii="Times New Roman" w:hAnsi="Times New Roman" w:cs="Times New Roman"/>
        </w:rPr>
        <w:t>It’s not statistically derived which makes it difficult to accurately measure.</w:t>
      </w:r>
      <w:r>
        <w:rPr>
          <w:rFonts w:ascii="Times New Roman" w:hAnsi="Times New Roman" w:cs="Times New Roman"/>
        </w:rPr>
        <w:t xml:space="preserve"> </w:t>
      </w:r>
      <w:r w:rsidRPr="00021E7B">
        <w:rPr>
          <w:rFonts w:ascii="Times New Roman" w:hAnsi="Times New Roman" w:cs="Times New Roman"/>
        </w:rPr>
        <w:t>Classification becomes something that is up to the interpretation of the surveyor.</w:t>
      </w:r>
      <w:r>
        <w:rPr>
          <w:rFonts w:ascii="Times New Roman" w:hAnsi="Times New Roman" w:cs="Times New Roman"/>
        </w:rPr>
        <w:t xml:space="preserve"> </w:t>
      </w:r>
      <w:r w:rsidRPr="00021E7B">
        <w:rPr>
          <w:rFonts w:ascii="Times New Roman" w:hAnsi="Times New Roman" w:cs="Times New Roman"/>
        </w:rPr>
        <w:t xml:space="preserve">This creates issues when there on disagreements in interpretation. For example, After the Quarter 2 survey we initially classified mitigation site 5 as “Fair” rather than “good” due to a significant amount of bare ground along portions of the site that were not covered by the transect. The county’s biologist challenged this interpretation and said that based on </w:t>
      </w:r>
      <w:r w:rsidRPr="00021E7B">
        <w:rPr>
          <w:rFonts w:ascii="Times New Roman" w:hAnsi="Times New Roman" w:cs="Times New Roman"/>
        </w:rPr>
        <w:t>our</w:t>
      </w:r>
      <w:r w:rsidRPr="00021E7B">
        <w:rPr>
          <w:rFonts w:ascii="Times New Roman" w:hAnsi="Times New Roman" w:cs="Times New Roman"/>
        </w:rPr>
        <w:t xml:space="preserve"> written description of the site we had no reason to classify it as “fair” and that it should instead be classified as “good”. I initially wanted to respond to the client defending my interpretation but was advised by my supervisor change my interpretation to agree with the client as it would help maintain client satisfaction.</w:t>
      </w:r>
    </w:p>
    <w:p w14:paraId="1BBFE5F6" w14:textId="1CE6AD70" w:rsidR="002A3092" w:rsidRDefault="002A3092" w:rsidP="007F2FEE">
      <w:pPr>
        <w:spacing w:line="276" w:lineRule="auto"/>
        <w:rPr>
          <w:rFonts w:ascii="Times New Roman" w:hAnsi="Times New Roman" w:cs="Times New Roman"/>
        </w:rPr>
      </w:pPr>
      <w:r>
        <w:rPr>
          <w:rFonts w:ascii="Times New Roman" w:hAnsi="Times New Roman" w:cs="Times New Roman"/>
        </w:rPr>
        <w:t>Challenges Faced by the Project:</w:t>
      </w:r>
    </w:p>
    <w:tbl>
      <w:tblPr>
        <w:tblStyle w:val="TableGrid"/>
        <w:tblW w:w="0" w:type="auto"/>
        <w:tblLook w:val="04A0" w:firstRow="1" w:lastRow="0" w:firstColumn="1" w:lastColumn="0" w:noHBand="0" w:noVBand="1"/>
      </w:tblPr>
      <w:tblGrid>
        <w:gridCol w:w="4675"/>
        <w:gridCol w:w="4675"/>
      </w:tblGrid>
      <w:tr w:rsidR="002A3092" w:rsidRPr="002A3092" w14:paraId="0DB9BAC3" w14:textId="77777777" w:rsidTr="003B46DF">
        <w:tc>
          <w:tcPr>
            <w:tcW w:w="9350" w:type="dxa"/>
            <w:gridSpan w:val="2"/>
          </w:tcPr>
          <w:p w14:paraId="40DD8811" w14:textId="77777777" w:rsidR="002A3092" w:rsidRPr="002A3092" w:rsidRDefault="002A3092" w:rsidP="003B46DF">
            <w:pPr>
              <w:spacing w:after="160" w:line="276" w:lineRule="auto"/>
              <w:rPr>
                <w:rFonts w:ascii="Times New Roman" w:hAnsi="Times New Roman" w:cs="Times New Roman"/>
              </w:rPr>
            </w:pPr>
            <w:r w:rsidRPr="002A3092">
              <w:rPr>
                <w:rFonts w:ascii="Times New Roman" w:hAnsi="Times New Roman" w:cs="Times New Roman"/>
              </w:rPr>
              <w:t>Summary of Challenges to the project</w:t>
            </w:r>
          </w:p>
        </w:tc>
      </w:tr>
      <w:tr w:rsidR="002A3092" w:rsidRPr="002A3092" w14:paraId="11F0E622" w14:textId="77777777" w:rsidTr="003B46DF">
        <w:tc>
          <w:tcPr>
            <w:tcW w:w="4675" w:type="dxa"/>
          </w:tcPr>
          <w:p w14:paraId="293E825D" w14:textId="77777777" w:rsidR="002A3092" w:rsidRPr="002A3092" w:rsidRDefault="002A3092" w:rsidP="003B46DF">
            <w:pPr>
              <w:spacing w:after="160" w:line="276" w:lineRule="auto"/>
              <w:rPr>
                <w:rFonts w:ascii="Times New Roman" w:hAnsi="Times New Roman" w:cs="Times New Roman"/>
              </w:rPr>
            </w:pPr>
            <w:r w:rsidRPr="002A3092">
              <w:rPr>
                <w:rFonts w:ascii="Times New Roman" w:hAnsi="Times New Roman" w:cs="Times New Roman"/>
              </w:rPr>
              <w:t>Major Safety Risks to field Crew</w:t>
            </w:r>
          </w:p>
        </w:tc>
        <w:tc>
          <w:tcPr>
            <w:tcW w:w="4675" w:type="dxa"/>
          </w:tcPr>
          <w:p w14:paraId="5E1BF41D" w14:textId="77777777" w:rsidR="002A3092" w:rsidRPr="002A3092" w:rsidRDefault="002A3092" w:rsidP="003B46DF">
            <w:pPr>
              <w:numPr>
                <w:ilvl w:val="0"/>
                <w:numId w:val="3"/>
              </w:numPr>
              <w:spacing w:after="160" w:line="276" w:lineRule="auto"/>
              <w:rPr>
                <w:rFonts w:ascii="Times New Roman" w:hAnsi="Times New Roman" w:cs="Times New Roman"/>
              </w:rPr>
            </w:pPr>
            <w:r w:rsidRPr="002A3092">
              <w:rPr>
                <w:rFonts w:ascii="Times New Roman" w:hAnsi="Times New Roman" w:cs="Times New Roman"/>
              </w:rPr>
              <w:t>Extreme heat during summer surveys</w:t>
            </w:r>
          </w:p>
          <w:p w14:paraId="7170DD91" w14:textId="77777777" w:rsidR="002A3092" w:rsidRPr="002A3092" w:rsidRDefault="002A3092" w:rsidP="003B46DF">
            <w:pPr>
              <w:numPr>
                <w:ilvl w:val="0"/>
                <w:numId w:val="3"/>
              </w:numPr>
              <w:spacing w:after="160" w:line="276" w:lineRule="auto"/>
              <w:rPr>
                <w:rFonts w:ascii="Times New Roman" w:hAnsi="Times New Roman" w:cs="Times New Roman"/>
              </w:rPr>
            </w:pPr>
            <w:r w:rsidRPr="002A3092">
              <w:rPr>
                <w:rFonts w:ascii="Times New Roman" w:hAnsi="Times New Roman" w:cs="Times New Roman"/>
              </w:rPr>
              <w:t>Exposure to harmful substances</w:t>
            </w:r>
          </w:p>
        </w:tc>
      </w:tr>
      <w:tr w:rsidR="002A3092" w:rsidRPr="002A3092" w14:paraId="02EFB531" w14:textId="77777777" w:rsidTr="003B46DF">
        <w:tc>
          <w:tcPr>
            <w:tcW w:w="4675" w:type="dxa"/>
          </w:tcPr>
          <w:p w14:paraId="61B973E7" w14:textId="77777777" w:rsidR="002A3092" w:rsidRPr="002A3092" w:rsidRDefault="002A3092" w:rsidP="003B46DF">
            <w:pPr>
              <w:spacing w:after="160" w:line="276" w:lineRule="auto"/>
              <w:rPr>
                <w:rFonts w:ascii="Times New Roman" w:hAnsi="Times New Roman" w:cs="Times New Roman"/>
              </w:rPr>
            </w:pPr>
            <w:r w:rsidRPr="002A3092">
              <w:rPr>
                <w:rFonts w:ascii="Times New Roman" w:hAnsi="Times New Roman" w:cs="Times New Roman"/>
              </w:rPr>
              <w:t>The Presence of Transients</w:t>
            </w:r>
          </w:p>
        </w:tc>
        <w:tc>
          <w:tcPr>
            <w:tcW w:w="4675" w:type="dxa"/>
          </w:tcPr>
          <w:p w14:paraId="22A03EAF" w14:textId="77777777" w:rsidR="002A3092" w:rsidRPr="002A3092" w:rsidRDefault="002A3092" w:rsidP="003B46DF">
            <w:pPr>
              <w:numPr>
                <w:ilvl w:val="0"/>
                <w:numId w:val="2"/>
              </w:numPr>
              <w:spacing w:after="160" w:line="276" w:lineRule="auto"/>
              <w:rPr>
                <w:rFonts w:ascii="Times New Roman" w:hAnsi="Times New Roman" w:cs="Times New Roman"/>
              </w:rPr>
            </w:pPr>
            <w:r w:rsidRPr="002A3092">
              <w:rPr>
                <w:rFonts w:ascii="Times New Roman" w:hAnsi="Times New Roman" w:cs="Times New Roman"/>
              </w:rPr>
              <w:t>Damage to the site caused by the presence of transients</w:t>
            </w:r>
          </w:p>
          <w:p w14:paraId="78918A46" w14:textId="77777777" w:rsidR="002A3092" w:rsidRPr="002A3092" w:rsidRDefault="002A3092" w:rsidP="003B46DF">
            <w:pPr>
              <w:numPr>
                <w:ilvl w:val="0"/>
                <w:numId w:val="2"/>
              </w:numPr>
              <w:spacing w:after="160" w:line="276" w:lineRule="auto"/>
              <w:rPr>
                <w:rFonts w:ascii="Times New Roman" w:hAnsi="Times New Roman" w:cs="Times New Roman"/>
              </w:rPr>
            </w:pPr>
            <w:r w:rsidRPr="002A3092">
              <w:rPr>
                <w:rFonts w:ascii="Times New Roman" w:hAnsi="Times New Roman" w:cs="Times New Roman"/>
              </w:rPr>
              <w:t>Direct threats to the safety of the Field Crew</w:t>
            </w:r>
          </w:p>
          <w:p w14:paraId="0272A34F" w14:textId="77777777" w:rsidR="002A3092" w:rsidRPr="002A3092" w:rsidRDefault="002A3092" w:rsidP="003B46DF">
            <w:pPr>
              <w:numPr>
                <w:ilvl w:val="0"/>
                <w:numId w:val="2"/>
              </w:numPr>
              <w:spacing w:after="160" w:line="276" w:lineRule="auto"/>
              <w:rPr>
                <w:rFonts w:ascii="Times New Roman" w:hAnsi="Times New Roman" w:cs="Times New Roman"/>
              </w:rPr>
            </w:pPr>
            <w:r w:rsidRPr="002A3092">
              <w:rPr>
                <w:rFonts w:ascii="Times New Roman" w:hAnsi="Times New Roman" w:cs="Times New Roman"/>
              </w:rPr>
              <w:t>Transients in the survey area forcing reschedule of survey.</w:t>
            </w:r>
          </w:p>
        </w:tc>
      </w:tr>
      <w:tr w:rsidR="002A3092" w:rsidRPr="002A3092" w14:paraId="7B9E5353" w14:textId="77777777" w:rsidTr="003B46DF">
        <w:tc>
          <w:tcPr>
            <w:tcW w:w="4675" w:type="dxa"/>
          </w:tcPr>
          <w:p w14:paraId="4106C1B7" w14:textId="77777777" w:rsidR="002A3092" w:rsidRPr="002A3092" w:rsidRDefault="002A3092" w:rsidP="003B46DF">
            <w:pPr>
              <w:spacing w:after="160" w:line="276" w:lineRule="auto"/>
              <w:rPr>
                <w:rFonts w:ascii="Times New Roman" w:hAnsi="Times New Roman" w:cs="Times New Roman"/>
              </w:rPr>
            </w:pPr>
            <w:r w:rsidRPr="002A3092">
              <w:rPr>
                <w:rFonts w:ascii="Times New Roman" w:hAnsi="Times New Roman" w:cs="Times New Roman"/>
              </w:rPr>
              <w:t>Coordinating with Subcontractors</w:t>
            </w:r>
          </w:p>
        </w:tc>
        <w:tc>
          <w:tcPr>
            <w:tcW w:w="4675" w:type="dxa"/>
          </w:tcPr>
          <w:p w14:paraId="3B425AB3" w14:textId="77777777" w:rsidR="002A3092" w:rsidRPr="002A3092" w:rsidRDefault="002A3092" w:rsidP="003B46DF">
            <w:pPr>
              <w:numPr>
                <w:ilvl w:val="0"/>
                <w:numId w:val="4"/>
              </w:numPr>
              <w:spacing w:after="160" w:line="276" w:lineRule="auto"/>
              <w:rPr>
                <w:rFonts w:ascii="Times New Roman" w:hAnsi="Times New Roman" w:cs="Times New Roman"/>
              </w:rPr>
            </w:pPr>
            <w:r w:rsidRPr="002A3092">
              <w:rPr>
                <w:rFonts w:ascii="Times New Roman" w:hAnsi="Times New Roman" w:cs="Times New Roman"/>
              </w:rPr>
              <w:t>Contractors unintentionally damaging the site by cutting back/removing native plants</w:t>
            </w:r>
          </w:p>
        </w:tc>
      </w:tr>
    </w:tbl>
    <w:p w14:paraId="03EF903E" w14:textId="77777777" w:rsidR="002A3092" w:rsidRPr="002A3092" w:rsidRDefault="002A3092" w:rsidP="002A3092">
      <w:pPr>
        <w:spacing w:line="276" w:lineRule="auto"/>
        <w:rPr>
          <w:rFonts w:ascii="Times New Roman" w:hAnsi="Times New Roman" w:cs="Times New Roman"/>
        </w:rPr>
      </w:pPr>
      <w:r w:rsidRPr="002A3092">
        <w:rPr>
          <w:rFonts w:ascii="Times New Roman" w:hAnsi="Times New Roman" w:cs="Times New Roman"/>
          <w:b/>
          <w:bCs/>
        </w:rPr>
        <w:t>Table 6.</w:t>
      </w:r>
      <w:r w:rsidRPr="002A3092">
        <w:rPr>
          <w:rFonts w:ascii="Times New Roman" w:hAnsi="Times New Roman" w:cs="Times New Roman"/>
        </w:rPr>
        <w:t xml:space="preserve"> Summary of challenged CCS faced on the West Fontana Channel Habitat Restoration Project. In depth descriptions of these challenges can be found in the discussion section.</w:t>
      </w:r>
    </w:p>
    <w:p w14:paraId="28D9A1C7" w14:textId="77777777" w:rsidR="002A3092" w:rsidRPr="002A3092" w:rsidRDefault="002A3092" w:rsidP="002A3092">
      <w:pPr>
        <w:spacing w:line="276" w:lineRule="auto"/>
        <w:rPr>
          <w:rFonts w:ascii="Times New Roman" w:hAnsi="Times New Roman" w:cs="Times New Roman"/>
        </w:rPr>
      </w:pPr>
      <w:r w:rsidRPr="002A3092">
        <w:rPr>
          <w:rFonts w:ascii="Times New Roman" w:hAnsi="Times New Roman" w:cs="Times New Roman"/>
        </w:rPr>
        <w:t>Summary and Conclusions:</w:t>
      </w:r>
    </w:p>
    <w:p w14:paraId="40200E15" w14:textId="77777777" w:rsidR="002A3092" w:rsidRPr="002A3092" w:rsidRDefault="002A3092" w:rsidP="002A3092">
      <w:pPr>
        <w:spacing w:line="276" w:lineRule="auto"/>
        <w:rPr>
          <w:rFonts w:ascii="Times New Roman" w:hAnsi="Times New Roman" w:cs="Times New Roman"/>
        </w:rPr>
      </w:pPr>
      <w:r w:rsidRPr="002A3092">
        <w:rPr>
          <w:rFonts w:ascii="Times New Roman" w:hAnsi="Times New Roman" w:cs="Times New Roman"/>
        </w:rPr>
        <w:t xml:space="preserve">The West Fontana Channel Habitat Restoration Project has approached its final stages. As the monitoring phase ends, the project has successfully reached the goal of 70% native vegetation ground cover across all five mitigation sites with an average 84.6667% across all three quarters. </w:t>
      </w:r>
      <w:r w:rsidRPr="002A3092">
        <w:rPr>
          <w:rFonts w:ascii="Times New Roman" w:hAnsi="Times New Roman" w:cs="Times New Roman"/>
        </w:rPr>
        <w:lastRenderedPageBreak/>
        <w:t xml:space="preserve">In addition, all sites maintained a vegetation health condition classification of “Good” or better with two of the five maintaining a classification of “excellent”. </w:t>
      </w:r>
    </w:p>
    <w:p w14:paraId="2F979A2D" w14:textId="77777777" w:rsidR="002A3092" w:rsidRDefault="002A3092" w:rsidP="002A3092">
      <w:pPr>
        <w:spacing w:line="276" w:lineRule="auto"/>
        <w:rPr>
          <w:rFonts w:ascii="Times New Roman" w:hAnsi="Times New Roman" w:cs="Times New Roman"/>
        </w:rPr>
      </w:pPr>
      <w:r w:rsidRPr="002A3092">
        <w:rPr>
          <w:rFonts w:ascii="Times New Roman" w:hAnsi="Times New Roman" w:cs="Times New Roman"/>
        </w:rPr>
        <w:t xml:space="preserve">According to the standards established by the client, San Bernadino County, the mitigation area would be considered restored. While this would allow San Bernadino County to halt all monitoring and move on to future projects, the biologists at CCS believe further surveys will be necessary. This is due to the high likely of future degradation caused by the site’s location along the flood channel, and its frequent utilization by transient individuals. Continued monitoring would significantly reduce degradation and prevent the need for future restoration efforts in the same area. </w:t>
      </w:r>
    </w:p>
    <w:p w14:paraId="69E567B7" w14:textId="2DAFDFFB" w:rsidR="00021E7B" w:rsidRDefault="00021E7B">
      <w:pPr>
        <w:rPr>
          <w:rFonts w:ascii="Times New Roman" w:hAnsi="Times New Roman" w:cs="Times New Roman"/>
        </w:rPr>
      </w:pPr>
      <w:r>
        <w:rPr>
          <w:rFonts w:ascii="Times New Roman" w:hAnsi="Times New Roman" w:cs="Times New Roman"/>
        </w:rPr>
        <w:br w:type="page"/>
      </w:r>
    </w:p>
    <w:p w14:paraId="4F306F15" w14:textId="77777777" w:rsidR="00021E7B" w:rsidRDefault="00021E7B" w:rsidP="002A3092">
      <w:pPr>
        <w:spacing w:line="276" w:lineRule="auto"/>
        <w:rPr>
          <w:rFonts w:ascii="Times New Roman" w:hAnsi="Times New Roman" w:cs="Times New Roman"/>
        </w:rPr>
      </w:pPr>
    </w:p>
    <w:p w14:paraId="18998373" w14:textId="77777777" w:rsidR="00021E7B" w:rsidRDefault="00021E7B" w:rsidP="00021E7B">
      <w:pPr>
        <w:spacing w:line="480" w:lineRule="auto"/>
        <w:rPr>
          <w:rFonts w:ascii="Times New Roman" w:hAnsi="Times New Roman" w:cs="Times New Roman"/>
          <w:u w:val="single"/>
        </w:rPr>
      </w:pPr>
      <w:r w:rsidRPr="006B0EB4">
        <w:rPr>
          <w:rFonts w:ascii="Times New Roman" w:hAnsi="Times New Roman" w:cs="Times New Roman"/>
          <w:u w:val="single"/>
        </w:rPr>
        <w:t>References:</w:t>
      </w:r>
    </w:p>
    <w:p w14:paraId="54548B1F" w14:textId="77777777" w:rsidR="00021E7B" w:rsidRDefault="00021E7B" w:rsidP="00021E7B">
      <w:pPr>
        <w:pStyle w:val="NormalWeb"/>
        <w:ind w:left="567" w:hanging="567"/>
        <w:rPr>
          <w:color w:val="000000"/>
        </w:rPr>
      </w:pPr>
      <w:r>
        <w:rPr>
          <w:color w:val="000000"/>
        </w:rPr>
        <w:t>City of Fontana. (2025).</w:t>
      </w:r>
      <w:r>
        <w:rPr>
          <w:rStyle w:val="apple-converted-space"/>
          <w:rFonts w:eastAsiaTheme="majorEastAsia"/>
          <w:color w:val="000000"/>
        </w:rPr>
        <w:t> </w:t>
      </w:r>
      <w:r>
        <w:rPr>
          <w:i/>
          <w:iCs/>
          <w:color w:val="000000"/>
        </w:rPr>
        <w:t>Master storm drainage plan</w:t>
      </w:r>
      <w:r>
        <w:rPr>
          <w:color w:val="000000"/>
        </w:rPr>
        <w:t>. Master Storm Drainage Plan | Fontana, CA - Official Website. https://www.fontanaca.gov/3535/Master-Storm-Drainage-Plan</w:t>
      </w:r>
      <w:r>
        <w:rPr>
          <w:rStyle w:val="apple-converted-space"/>
          <w:rFonts w:eastAsiaTheme="majorEastAsia"/>
          <w:color w:val="000000"/>
        </w:rPr>
        <w:t> </w:t>
      </w:r>
    </w:p>
    <w:p w14:paraId="4A6A14E1" w14:textId="77777777" w:rsidR="00021E7B" w:rsidRDefault="00021E7B" w:rsidP="00021E7B">
      <w:pPr>
        <w:pStyle w:val="NormalWeb"/>
        <w:ind w:left="567" w:hanging="567"/>
        <w:rPr>
          <w:color w:val="000000"/>
        </w:rPr>
      </w:pPr>
      <w:r>
        <w:rPr>
          <w:color w:val="000000"/>
        </w:rPr>
        <w:t>Falk, D. A., Palmer, M. A., &amp; Zedler, J. B. (2006).</w:t>
      </w:r>
      <w:r>
        <w:rPr>
          <w:rStyle w:val="apple-converted-space"/>
          <w:rFonts w:eastAsiaTheme="majorEastAsia"/>
          <w:color w:val="000000"/>
        </w:rPr>
        <w:t> </w:t>
      </w:r>
      <w:r>
        <w:rPr>
          <w:i/>
          <w:iCs/>
          <w:color w:val="000000"/>
        </w:rPr>
        <w:t>Foundations of Restoration Ecology</w:t>
      </w:r>
      <w:r>
        <w:rPr>
          <w:color w:val="000000"/>
        </w:rPr>
        <w:t>. Island Press.</w:t>
      </w:r>
      <w:r>
        <w:rPr>
          <w:rStyle w:val="apple-converted-space"/>
          <w:rFonts w:eastAsiaTheme="majorEastAsia"/>
          <w:color w:val="000000"/>
        </w:rPr>
        <w:t> </w:t>
      </w:r>
    </w:p>
    <w:p w14:paraId="62AFD5CD" w14:textId="77777777" w:rsidR="00021E7B" w:rsidRDefault="00021E7B" w:rsidP="00021E7B">
      <w:pPr>
        <w:pStyle w:val="NormalWeb"/>
        <w:ind w:left="567" w:hanging="567"/>
        <w:rPr>
          <w:rStyle w:val="apple-converted-space"/>
          <w:rFonts w:eastAsiaTheme="majorEastAsia"/>
          <w:color w:val="000000"/>
        </w:rPr>
      </w:pPr>
      <w:r>
        <w:rPr>
          <w:color w:val="000000"/>
        </w:rPr>
        <w:t>Franklin, T. M., Helinski, R., &amp; Manale, A. (2007, September).</w:t>
      </w:r>
      <w:r>
        <w:rPr>
          <w:rStyle w:val="apple-converted-space"/>
          <w:rFonts w:eastAsiaTheme="majorEastAsia"/>
          <w:color w:val="000000"/>
        </w:rPr>
        <w:t> </w:t>
      </w:r>
      <w:r>
        <w:rPr>
          <w:i/>
          <w:iCs/>
          <w:color w:val="000000"/>
        </w:rPr>
        <w:t>Fish and wildlife response to farm bill conservation practices 103</w:t>
      </w:r>
      <w:r>
        <w:rPr>
          <w:color w:val="000000"/>
        </w:rPr>
        <w:t>. USDA FSA.Gov. https://www.fsa.usda.gov/Internet/FSA_File/chap_7.pdf</w:t>
      </w:r>
      <w:r>
        <w:rPr>
          <w:rStyle w:val="apple-converted-space"/>
          <w:rFonts w:eastAsiaTheme="majorEastAsia"/>
          <w:color w:val="000000"/>
        </w:rPr>
        <w:t> </w:t>
      </w:r>
    </w:p>
    <w:p w14:paraId="0EAA000E" w14:textId="77777777" w:rsidR="00021E7B" w:rsidRDefault="00021E7B" w:rsidP="00021E7B">
      <w:pPr>
        <w:pStyle w:val="NormalWeb"/>
        <w:ind w:left="567" w:hanging="567"/>
        <w:rPr>
          <w:color w:val="000000"/>
        </w:rPr>
      </w:pPr>
      <w:r w:rsidRPr="003608C0">
        <w:rPr>
          <w:color w:val="000000"/>
        </w:rPr>
        <w:t>Griffith, G. E., Omernik, J. M., Smith, D. W., Cook, T. D., Tallyn, E., Moseley, K., &amp; Johnson, C. B. (2016, February 23). </w:t>
      </w:r>
      <w:r w:rsidRPr="003608C0">
        <w:rPr>
          <w:i/>
          <w:iCs/>
          <w:color w:val="000000"/>
        </w:rPr>
        <w:t>Ecoregions of California</w:t>
      </w:r>
      <w:r w:rsidRPr="003608C0">
        <w:rPr>
          <w:color w:val="000000"/>
        </w:rPr>
        <w:t>. Open-File Report. https://doi.org/10.3133/ofr20161021 </w:t>
      </w:r>
    </w:p>
    <w:p w14:paraId="2AD0BFC0" w14:textId="77777777" w:rsidR="00021E7B" w:rsidRPr="00B515CD" w:rsidRDefault="00021E7B" w:rsidP="00021E7B">
      <w:pPr>
        <w:pStyle w:val="NormalWeb"/>
        <w:ind w:left="567" w:hanging="567"/>
        <w:rPr>
          <w:color w:val="000000"/>
          <w:lang w:val="fr-FR"/>
        </w:rPr>
      </w:pPr>
      <w:r>
        <w:rPr>
          <w:color w:val="000000"/>
        </w:rPr>
        <w:t>Indeed. (2026).</w:t>
      </w:r>
      <w:r>
        <w:rPr>
          <w:rStyle w:val="apple-converted-space"/>
          <w:rFonts w:eastAsiaTheme="majorEastAsia"/>
          <w:color w:val="000000"/>
        </w:rPr>
        <w:t> </w:t>
      </w:r>
      <w:r>
        <w:rPr>
          <w:i/>
          <w:iCs/>
          <w:color w:val="000000"/>
        </w:rPr>
        <w:t>Environmental consultant salary in California</w:t>
      </w:r>
      <w:r>
        <w:rPr>
          <w:color w:val="000000"/>
        </w:rPr>
        <w:t xml:space="preserve">. </w:t>
      </w:r>
      <w:proofErr w:type="spellStart"/>
      <w:r w:rsidRPr="00B515CD">
        <w:rPr>
          <w:color w:val="000000"/>
          <w:lang w:val="fr-FR"/>
        </w:rPr>
        <w:t>Environmental</w:t>
      </w:r>
      <w:proofErr w:type="spellEnd"/>
      <w:r w:rsidRPr="00B515CD">
        <w:rPr>
          <w:color w:val="000000"/>
          <w:lang w:val="fr-FR"/>
        </w:rPr>
        <w:t xml:space="preserve"> Consultant Salaries, CA. https://www.indeed.com/career/environmental-consultant/salaries/CA</w:t>
      </w:r>
      <w:r w:rsidRPr="00B515CD">
        <w:rPr>
          <w:rStyle w:val="apple-converted-space"/>
          <w:rFonts w:eastAsiaTheme="majorEastAsia"/>
          <w:color w:val="000000"/>
          <w:lang w:val="fr-FR"/>
        </w:rPr>
        <w:t> </w:t>
      </w:r>
    </w:p>
    <w:p w14:paraId="2558F81A" w14:textId="77777777" w:rsidR="00021E7B" w:rsidRDefault="00021E7B" w:rsidP="00021E7B">
      <w:pPr>
        <w:pStyle w:val="NormalWeb"/>
        <w:ind w:left="567" w:hanging="567"/>
        <w:rPr>
          <w:rStyle w:val="apple-converted-space"/>
          <w:rFonts w:eastAsiaTheme="majorEastAsia"/>
          <w:color w:val="000000"/>
        </w:rPr>
      </w:pPr>
    </w:p>
    <w:p w14:paraId="6132BEA2" w14:textId="77777777" w:rsidR="00021E7B" w:rsidRDefault="00021E7B" w:rsidP="00021E7B">
      <w:pPr>
        <w:pStyle w:val="NormalWeb"/>
        <w:ind w:left="567" w:hanging="567"/>
        <w:rPr>
          <w:rStyle w:val="apple-converted-space"/>
          <w:rFonts w:eastAsiaTheme="majorEastAsia"/>
          <w:color w:val="000000"/>
        </w:rPr>
      </w:pPr>
      <w:proofErr w:type="spellStart"/>
      <w:r w:rsidRPr="00B515CD">
        <w:rPr>
          <w:rStyle w:val="apple-converted-space"/>
          <w:rFonts w:eastAsiaTheme="majorEastAsia"/>
          <w:color w:val="000000"/>
          <w:lang w:val="sv-SE"/>
        </w:rPr>
        <w:t>Modrick</w:t>
      </w:r>
      <w:proofErr w:type="spellEnd"/>
      <w:r w:rsidRPr="00B515CD">
        <w:rPr>
          <w:rStyle w:val="apple-converted-space"/>
          <w:rFonts w:eastAsiaTheme="majorEastAsia"/>
          <w:color w:val="000000"/>
          <w:lang w:val="sv-SE"/>
        </w:rPr>
        <w:t xml:space="preserve">, T. M., &amp; </w:t>
      </w:r>
      <w:proofErr w:type="spellStart"/>
      <w:r w:rsidRPr="00B515CD">
        <w:rPr>
          <w:rStyle w:val="apple-converted-space"/>
          <w:rFonts w:eastAsiaTheme="majorEastAsia"/>
          <w:color w:val="000000"/>
          <w:lang w:val="sv-SE"/>
        </w:rPr>
        <w:t>Georgakakos</w:t>
      </w:r>
      <w:proofErr w:type="spellEnd"/>
      <w:r w:rsidRPr="00B515CD">
        <w:rPr>
          <w:rStyle w:val="apple-converted-space"/>
          <w:rFonts w:eastAsiaTheme="majorEastAsia"/>
          <w:color w:val="000000"/>
          <w:lang w:val="sv-SE"/>
        </w:rPr>
        <w:t xml:space="preserve">, K. P. (2015). </w:t>
      </w:r>
      <w:r>
        <w:rPr>
          <w:rStyle w:val="apple-converted-space"/>
          <w:rFonts w:eastAsiaTheme="majorEastAsia"/>
          <w:color w:val="000000"/>
        </w:rPr>
        <w:t xml:space="preserve">The character and causes of flash flood occurrence changes in mountainous small basins of Southern California under projects Climate Change. </w:t>
      </w:r>
      <w:r>
        <w:rPr>
          <w:rStyle w:val="apple-converted-space"/>
          <w:rFonts w:eastAsiaTheme="majorEastAsia"/>
          <w:i/>
          <w:iCs/>
          <w:color w:val="000000"/>
        </w:rPr>
        <w:t xml:space="preserve">Journal of Hydrology: Regional Studies, </w:t>
      </w:r>
      <w:r w:rsidRPr="00D62398">
        <w:rPr>
          <w:rStyle w:val="apple-converted-space"/>
          <w:rFonts w:eastAsiaTheme="majorEastAsia"/>
          <w:i/>
          <w:iCs/>
          <w:color w:val="000000"/>
        </w:rPr>
        <w:t>3, 312-336</w:t>
      </w:r>
      <w:r w:rsidRPr="00D62398">
        <w:rPr>
          <w:rStyle w:val="apple-converted-space"/>
          <w:rFonts w:eastAsiaTheme="majorEastAsia"/>
          <w:color w:val="000000"/>
        </w:rPr>
        <w:t xml:space="preserve"> </w:t>
      </w:r>
      <w:hyperlink r:id="rId14" w:history="1">
        <w:r w:rsidRPr="00185F36">
          <w:rPr>
            <w:rStyle w:val="Hyperlink"/>
            <w:rFonts w:eastAsiaTheme="majorEastAsia"/>
          </w:rPr>
          <w:t>https://doi.org/10.1016/j.ejrh.2015.02.003</w:t>
        </w:r>
      </w:hyperlink>
    </w:p>
    <w:p w14:paraId="72C827BD" w14:textId="77777777" w:rsidR="00021E7B" w:rsidRDefault="00021E7B" w:rsidP="00021E7B">
      <w:pPr>
        <w:pStyle w:val="NormalWeb"/>
        <w:ind w:left="567" w:hanging="567"/>
        <w:rPr>
          <w:color w:val="000000"/>
        </w:rPr>
      </w:pPr>
      <w:r>
        <w:rPr>
          <w:color w:val="000000"/>
        </w:rPr>
        <w:t xml:space="preserve">San Bernardino County. (2025) </w:t>
      </w:r>
      <w:r w:rsidRPr="004651D1">
        <w:rPr>
          <w:i/>
          <w:iCs/>
          <w:color w:val="000000"/>
        </w:rPr>
        <w:t>District zones</w:t>
      </w:r>
      <w:r>
        <w:rPr>
          <w:color w:val="000000"/>
        </w:rPr>
        <w:t>. Public Works. https://dpw.sbcounty.gov/flood-control/district-zones/</w:t>
      </w:r>
    </w:p>
    <w:p w14:paraId="03A9642B" w14:textId="77777777" w:rsidR="00021E7B" w:rsidRPr="00D62398" w:rsidRDefault="00021E7B" w:rsidP="00021E7B">
      <w:pPr>
        <w:pStyle w:val="NormalWeb"/>
        <w:ind w:left="567" w:hanging="567"/>
        <w:rPr>
          <w:color w:val="000000"/>
        </w:rPr>
      </w:pPr>
      <w:proofErr w:type="spellStart"/>
      <w:r>
        <w:rPr>
          <w:color w:val="000000"/>
        </w:rPr>
        <w:t>Shaules</w:t>
      </w:r>
      <w:proofErr w:type="spellEnd"/>
      <w:r>
        <w:rPr>
          <w:color w:val="000000"/>
        </w:rPr>
        <w:t xml:space="preserve">, K., &amp; </w:t>
      </w:r>
      <w:proofErr w:type="spellStart"/>
      <w:r>
        <w:rPr>
          <w:color w:val="000000"/>
        </w:rPr>
        <w:t>Shaules</w:t>
      </w:r>
      <w:proofErr w:type="spellEnd"/>
      <w:r>
        <w:rPr>
          <w:color w:val="000000"/>
        </w:rPr>
        <w:t>, C. (2020).</w:t>
      </w:r>
      <w:r>
        <w:rPr>
          <w:rStyle w:val="apple-converted-space"/>
          <w:rFonts w:eastAsiaTheme="majorEastAsia"/>
          <w:color w:val="000000"/>
        </w:rPr>
        <w:t> </w:t>
      </w:r>
      <w:r>
        <w:rPr>
          <w:i/>
          <w:iCs/>
          <w:color w:val="000000"/>
        </w:rPr>
        <w:t>CORNERSTONEDC</w:t>
      </w:r>
      <w:r>
        <w:rPr>
          <w:color w:val="000000"/>
        </w:rPr>
        <w:t xml:space="preserve">. </w:t>
      </w:r>
      <w:proofErr w:type="spellStart"/>
      <w:r>
        <w:rPr>
          <w:color w:val="000000"/>
        </w:rPr>
        <w:t>CornerstoneDC</w:t>
      </w:r>
      <w:proofErr w:type="spellEnd"/>
      <w:r>
        <w:rPr>
          <w:color w:val="000000"/>
        </w:rPr>
        <w:t>. https://www.cornerstone.dev/</w:t>
      </w:r>
      <w:r>
        <w:rPr>
          <w:rStyle w:val="apple-converted-space"/>
          <w:rFonts w:eastAsiaTheme="majorEastAsia"/>
          <w:color w:val="000000"/>
        </w:rPr>
        <w:t> </w:t>
      </w:r>
    </w:p>
    <w:p w14:paraId="14746552" w14:textId="77777777" w:rsidR="00021E7B" w:rsidRDefault="00021E7B" w:rsidP="00021E7B">
      <w:pPr>
        <w:pStyle w:val="NormalWeb"/>
        <w:ind w:left="567" w:hanging="567"/>
        <w:rPr>
          <w:color w:val="000000"/>
        </w:rPr>
      </w:pPr>
      <w:r>
        <w:rPr>
          <w:color w:val="000000"/>
        </w:rPr>
        <w:t xml:space="preserve">Van Bruggen, A. H. C., He, M. M., Shin, K., Mai, V., Jeong, K. C., </w:t>
      </w:r>
      <w:proofErr w:type="spellStart"/>
      <w:r>
        <w:rPr>
          <w:color w:val="000000"/>
        </w:rPr>
        <w:t>Finckh</w:t>
      </w:r>
      <w:proofErr w:type="spellEnd"/>
      <w:r>
        <w:rPr>
          <w:color w:val="000000"/>
        </w:rPr>
        <w:t>, M. R., &amp; Morris, J. G. (2018). Environmental and health effects of the herbicide glyphosate.</w:t>
      </w:r>
      <w:r>
        <w:rPr>
          <w:rStyle w:val="apple-converted-space"/>
          <w:rFonts w:eastAsiaTheme="majorEastAsia"/>
          <w:color w:val="000000"/>
        </w:rPr>
        <w:t> </w:t>
      </w:r>
      <w:r>
        <w:rPr>
          <w:i/>
          <w:iCs/>
          <w:color w:val="000000"/>
        </w:rPr>
        <w:t>Science of The Total Environment</w:t>
      </w:r>
      <w:r>
        <w:rPr>
          <w:color w:val="000000"/>
        </w:rPr>
        <w:t>,</w:t>
      </w:r>
      <w:r>
        <w:rPr>
          <w:rStyle w:val="apple-converted-space"/>
          <w:rFonts w:eastAsiaTheme="majorEastAsia"/>
          <w:color w:val="000000"/>
        </w:rPr>
        <w:t> </w:t>
      </w:r>
      <w:r>
        <w:rPr>
          <w:i/>
          <w:iCs/>
          <w:color w:val="000000"/>
        </w:rPr>
        <w:t>616–617</w:t>
      </w:r>
      <w:r>
        <w:rPr>
          <w:color w:val="000000"/>
        </w:rPr>
        <w:t>, 255–268. https://doi.org/10.1016/j.scitotenv.2017.10.309</w:t>
      </w:r>
      <w:r>
        <w:rPr>
          <w:rStyle w:val="apple-converted-space"/>
          <w:rFonts w:eastAsiaTheme="majorEastAsia"/>
          <w:color w:val="000000"/>
        </w:rPr>
        <w:t> </w:t>
      </w:r>
    </w:p>
    <w:p w14:paraId="505FA7E5" w14:textId="77777777" w:rsidR="00021E7B" w:rsidRDefault="00021E7B" w:rsidP="00021E7B">
      <w:pPr>
        <w:pStyle w:val="NormalWeb"/>
        <w:ind w:left="567" w:hanging="567"/>
        <w:rPr>
          <w:color w:val="000000"/>
        </w:rPr>
      </w:pPr>
      <w:r w:rsidRPr="00B515CD">
        <w:rPr>
          <w:color w:val="000000"/>
          <w:lang w:val="pt-BR"/>
        </w:rPr>
        <w:t xml:space="preserve">Zhou, W., &amp; Beck, B. F. (2005). </w:t>
      </w:r>
      <w:r>
        <w:rPr>
          <w:color w:val="000000"/>
        </w:rPr>
        <w:t>Roadway Construction in karst areas: Management of stormwater runoff and sinkhole risk assessment.</w:t>
      </w:r>
      <w:r>
        <w:rPr>
          <w:rStyle w:val="apple-converted-space"/>
          <w:rFonts w:eastAsiaTheme="majorEastAsia"/>
          <w:color w:val="000000"/>
        </w:rPr>
        <w:t> </w:t>
      </w:r>
      <w:r>
        <w:rPr>
          <w:i/>
          <w:iCs/>
          <w:color w:val="000000"/>
        </w:rPr>
        <w:t>Environmental Geology</w:t>
      </w:r>
      <w:r>
        <w:rPr>
          <w:color w:val="000000"/>
        </w:rPr>
        <w:t>,</w:t>
      </w:r>
      <w:r>
        <w:rPr>
          <w:rStyle w:val="apple-converted-space"/>
          <w:rFonts w:eastAsiaTheme="majorEastAsia"/>
          <w:color w:val="000000"/>
        </w:rPr>
        <w:t> </w:t>
      </w:r>
      <w:r>
        <w:rPr>
          <w:i/>
          <w:iCs/>
          <w:color w:val="000000"/>
        </w:rPr>
        <w:t>47</w:t>
      </w:r>
      <w:r>
        <w:rPr>
          <w:color w:val="000000"/>
        </w:rPr>
        <w:t>(8), 1138–1149. https://doi.org/10.1007/s00254-005-1252-z</w:t>
      </w:r>
      <w:r>
        <w:rPr>
          <w:rStyle w:val="apple-converted-space"/>
          <w:rFonts w:eastAsiaTheme="majorEastAsia"/>
          <w:color w:val="000000"/>
        </w:rPr>
        <w:t> </w:t>
      </w:r>
    </w:p>
    <w:p w14:paraId="4EC5E2C5" w14:textId="77777777" w:rsidR="00021E7B" w:rsidRPr="002A3092" w:rsidRDefault="00021E7B" w:rsidP="002A3092">
      <w:pPr>
        <w:spacing w:line="276" w:lineRule="auto"/>
        <w:rPr>
          <w:rFonts w:ascii="Times New Roman" w:hAnsi="Times New Roman" w:cs="Times New Roman"/>
        </w:rPr>
      </w:pPr>
    </w:p>
    <w:p w14:paraId="70B00AE0" w14:textId="77777777" w:rsidR="00D30ECA" w:rsidRPr="009D5B58" w:rsidRDefault="00D30ECA" w:rsidP="009D5B58"/>
    <w:p w14:paraId="3DA26D3F" w14:textId="77777777" w:rsidR="009D5B58" w:rsidRDefault="009D5B58" w:rsidP="009D5B58"/>
    <w:sectPr w:rsidR="009D5B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04717"/>
    <w:multiLevelType w:val="hybridMultilevel"/>
    <w:tmpl w:val="BAEA40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C248C4"/>
    <w:multiLevelType w:val="hybridMultilevel"/>
    <w:tmpl w:val="83FE4834"/>
    <w:lvl w:ilvl="0" w:tplc="5A9A5AEE">
      <w:start w:val="1"/>
      <w:numFmt w:val="bullet"/>
      <w:lvlText w:val="●"/>
      <w:lvlJc w:val="left"/>
      <w:pPr>
        <w:tabs>
          <w:tab w:val="num" w:pos="720"/>
        </w:tabs>
        <w:ind w:left="720" w:hanging="360"/>
      </w:pPr>
      <w:rPr>
        <w:rFonts w:ascii="Arial" w:hAnsi="Arial" w:hint="default"/>
      </w:rPr>
    </w:lvl>
    <w:lvl w:ilvl="1" w:tplc="E1D08786" w:tentative="1">
      <w:start w:val="1"/>
      <w:numFmt w:val="bullet"/>
      <w:lvlText w:val="●"/>
      <w:lvlJc w:val="left"/>
      <w:pPr>
        <w:tabs>
          <w:tab w:val="num" w:pos="1440"/>
        </w:tabs>
        <w:ind w:left="1440" w:hanging="360"/>
      </w:pPr>
      <w:rPr>
        <w:rFonts w:ascii="Arial" w:hAnsi="Arial" w:hint="default"/>
      </w:rPr>
    </w:lvl>
    <w:lvl w:ilvl="2" w:tplc="ACA82050" w:tentative="1">
      <w:start w:val="1"/>
      <w:numFmt w:val="bullet"/>
      <w:lvlText w:val="●"/>
      <w:lvlJc w:val="left"/>
      <w:pPr>
        <w:tabs>
          <w:tab w:val="num" w:pos="2160"/>
        </w:tabs>
        <w:ind w:left="2160" w:hanging="360"/>
      </w:pPr>
      <w:rPr>
        <w:rFonts w:ascii="Arial" w:hAnsi="Arial" w:hint="default"/>
      </w:rPr>
    </w:lvl>
    <w:lvl w:ilvl="3" w:tplc="25EAD698" w:tentative="1">
      <w:start w:val="1"/>
      <w:numFmt w:val="bullet"/>
      <w:lvlText w:val="●"/>
      <w:lvlJc w:val="left"/>
      <w:pPr>
        <w:tabs>
          <w:tab w:val="num" w:pos="2880"/>
        </w:tabs>
        <w:ind w:left="2880" w:hanging="360"/>
      </w:pPr>
      <w:rPr>
        <w:rFonts w:ascii="Arial" w:hAnsi="Arial" w:hint="default"/>
      </w:rPr>
    </w:lvl>
    <w:lvl w:ilvl="4" w:tplc="03065CCA" w:tentative="1">
      <w:start w:val="1"/>
      <w:numFmt w:val="bullet"/>
      <w:lvlText w:val="●"/>
      <w:lvlJc w:val="left"/>
      <w:pPr>
        <w:tabs>
          <w:tab w:val="num" w:pos="3600"/>
        </w:tabs>
        <w:ind w:left="3600" w:hanging="360"/>
      </w:pPr>
      <w:rPr>
        <w:rFonts w:ascii="Arial" w:hAnsi="Arial" w:hint="default"/>
      </w:rPr>
    </w:lvl>
    <w:lvl w:ilvl="5" w:tplc="33C450C2" w:tentative="1">
      <w:start w:val="1"/>
      <w:numFmt w:val="bullet"/>
      <w:lvlText w:val="●"/>
      <w:lvlJc w:val="left"/>
      <w:pPr>
        <w:tabs>
          <w:tab w:val="num" w:pos="4320"/>
        </w:tabs>
        <w:ind w:left="4320" w:hanging="360"/>
      </w:pPr>
      <w:rPr>
        <w:rFonts w:ascii="Arial" w:hAnsi="Arial" w:hint="default"/>
      </w:rPr>
    </w:lvl>
    <w:lvl w:ilvl="6" w:tplc="7DC08BB6" w:tentative="1">
      <w:start w:val="1"/>
      <w:numFmt w:val="bullet"/>
      <w:lvlText w:val="●"/>
      <w:lvlJc w:val="left"/>
      <w:pPr>
        <w:tabs>
          <w:tab w:val="num" w:pos="5040"/>
        </w:tabs>
        <w:ind w:left="5040" w:hanging="360"/>
      </w:pPr>
      <w:rPr>
        <w:rFonts w:ascii="Arial" w:hAnsi="Arial" w:hint="default"/>
      </w:rPr>
    </w:lvl>
    <w:lvl w:ilvl="7" w:tplc="3F88909A" w:tentative="1">
      <w:start w:val="1"/>
      <w:numFmt w:val="bullet"/>
      <w:lvlText w:val="●"/>
      <w:lvlJc w:val="left"/>
      <w:pPr>
        <w:tabs>
          <w:tab w:val="num" w:pos="5760"/>
        </w:tabs>
        <w:ind w:left="5760" w:hanging="360"/>
      </w:pPr>
      <w:rPr>
        <w:rFonts w:ascii="Arial" w:hAnsi="Arial" w:hint="default"/>
      </w:rPr>
    </w:lvl>
    <w:lvl w:ilvl="8" w:tplc="F15295C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10B6361"/>
    <w:multiLevelType w:val="hybridMultilevel"/>
    <w:tmpl w:val="7D6C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243038"/>
    <w:multiLevelType w:val="hybridMultilevel"/>
    <w:tmpl w:val="3F8E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0D6F37"/>
    <w:multiLevelType w:val="hybridMultilevel"/>
    <w:tmpl w:val="BF603CDE"/>
    <w:lvl w:ilvl="0" w:tplc="60EE194E">
      <w:start w:val="1"/>
      <w:numFmt w:val="bullet"/>
      <w:lvlText w:val="●"/>
      <w:lvlJc w:val="left"/>
      <w:pPr>
        <w:tabs>
          <w:tab w:val="num" w:pos="720"/>
        </w:tabs>
        <w:ind w:left="720" w:hanging="360"/>
      </w:pPr>
      <w:rPr>
        <w:rFonts w:ascii="Arial" w:hAnsi="Arial" w:hint="default"/>
      </w:rPr>
    </w:lvl>
    <w:lvl w:ilvl="1" w:tplc="2FB23778" w:tentative="1">
      <w:start w:val="1"/>
      <w:numFmt w:val="bullet"/>
      <w:lvlText w:val="●"/>
      <w:lvlJc w:val="left"/>
      <w:pPr>
        <w:tabs>
          <w:tab w:val="num" w:pos="1440"/>
        </w:tabs>
        <w:ind w:left="1440" w:hanging="360"/>
      </w:pPr>
      <w:rPr>
        <w:rFonts w:ascii="Arial" w:hAnsi="Arial" w:hint="default"/>
      </w:rPr>
    </w:lvl>
    <w:lvl w:ilvl="2" w:tplc="58F89170" w:tentative="1">
      <w:start w:val="1"/>
      <w:numFmt w:val="bullet"/>
      <w:lvlText w:val="●"/>
      <w:lvlJc w:val="left"/>
      <w:pPr>
        <w:tabs>
          <w:tab w:val="num" w:pos="2160"/>
        </w:tabs>
        <w:ind w:left="2160" w:hanging="360"/>
      </w:pPr>
      <w:rPr>
        <w:rFonts w:ascii="Arial" w:hAnsi="Arial" w:hint="default"/>
      </w:rPr>
    </w:lvl>
    <w:lvl w:ilvl="3" w:tplc="1DB02D12" w:tentative="1">
      <w:start w:val="1"/>
      <w:numFmt w:val="bullet"/>
      <w:lvlText w:val="●"/>
      <w:lvlJc w:val="left"/>
      <w:pPr>
        <w:tabs>
          <w:tab w:val="num" w:pos="2880"/>
        </w:tabs>
        <w:ind w:left="2880" w:hanging="360"/>
      </w:pPr>
      <w:rPr>
        <w:rFonts w:ascii="Arial" w:hAnsi="Arial" w:hint="default"/>
      </w:rPr>
    </w:lvl>
    <w:lvl w:ilvl="4" w:tplc="98D23430" w:tentative="1">
      <w:start w:val="1"/>
      <w:numFmt w:val="bullet"/>
      <w:lvlText w:val="●"/>
      <w:lvlJc w:val="left"/>
      <w:pPr>
        <w:tabs>
          <w:tab w:val="num" w:pos="3600"/>
        </w:tabs>
        <w:ind w:left="3600" w:hanging="360"/>
      </w:pPr>
      <w:rPr>
        <w:rFonts w:ascii="Arial" w:hAnsi="Arial" w:hint="default"/>
      </w:rPr>
    </w:lvl>
    <w:lvl w:ilvl="5" w:tplc="66DA1880" w:tentative="1">
      <w:start w:val="1"/>
      <w:numFmt w:val="bullet"/>
      <w:lvlText w:val="●"/>
      <w:lvlJc w:val="left"/>
      <w:pPr>
        <w:tabs>
          <w:tab w:val="num" w:pos="4320"/>
        </w:tabs>
        <w:ind w:left="4320" w:hanging="360"/>
      </w:pPr>
      <w:rPr>
        <w:rFonts w:ascii="Arial" w:hAnsi="Arial" w:hint="default"/>
      </w:rPr>
    </w:lvl>
    <w:lvl w:ilvl="6" w:tplc="2E586DB8" w:tentative="1">
      <w:start w:val="1"/>
      <w:numFmt w:val="bullet"/>
      <w:lvlText w:val="●"/>
      <w:lvlJc w:val="left"/>
      <w:pPr>
        <w:tabs>
          <w:tab w:val="num" w:pos="5040"/>
        </w:tabs>
        <w:ind w:left="5040" w:hanging="360"/>
      </w:pPr>
      <w:rPr>
        <w:rFonts w:ascii="Arial" w:hAnsi="Arial" w:hint="default"/>
      </w:rPr>
    </w:lvl>
    <w:lvl w:ilvl="7" w:tplc="CE8C6A22" w:tentative="1">
      <w:start w:val="1"/>
      <w:numFmt w:val="bullet"/>
      <w:lvlText w:val="●"/>
      <w:lvlJc w:val="left"/>
      <w:pPr>
        <w:tabs>
          <w:tab w:val="num" w:pos="5760"/>
        </w:tabs>
        <w:ind w:left="5760" w:hanging="360"/>
      </w:pPr>
      <w:rPr>
        <w:rFonts w:ascii="Arial" w:hAnsi="Arial" w:hint="default"/>
      </w:rPr>
    </w:lvl>
    <w:lvl w:ilvl="8" w:tplc="F2AAFE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1AC1A71"/>
    <w:multiLevelType w:val="hybridMultilevel"/>
    <w:tmpl w:val="73F04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8D6CB6"/>
    <w:multiLevelType w:val="hybridMultilevel"/>
    <w:tmpl w:val="807A616C"/>
    <w:lvl w:ilvl="0" w:tplc="E762305C">
      <w:start w:val="1"/>
      <w:numFmt w:val="bullet"/>
      <w:lvlText w:val="●"/>
      <w:lvlJc w:val="left"/>
      <w:pPr>
        <w:tabs>
          <w:tab w:val="num" w:pos="720"/>
        </w:tabs>
        <w:ind w:left="720" w:hanging="360"/>
      </w:pPr>
      <w:rPr>
        <w:rFonts w:ascii="Arial" w:hAnsi="Arial" w:hint="default"/>
      </w:rPr>
    </w:lvl>
    <w:lvl w:ilvl="1" w:tplc="A83ED560" w:tentative="1">
      <w:start w:val="1"/>
      <w:numFmt w:val="bullet"/>
      <w:lvlText w:val="●"/>
      <w:lvlJc w:val="left"/>
      <w:pPr>
        <w:tabs>
          <w:tab w:val="num" w:pos="1440"/>
        </w:tabs>
        <w:ind w:left="1440" w:hanging="360"/>
      </w:pPr>
      <w:rPr>
        <w:rFonts w:ascii="Arial" w:hAnsi="Arial" w:hint="default"/>
      </w:rPr>
    </w:lvl>
    <w:lvl w:ilvl="2" w:tplc="662AD290" w:tentative="1">
      <w:start w:val="1"/>
      <w:numFmt w:val="bullet"/>
      <w:lvlText w:val="●"/>
      <w:lvlJc w:val="left"/>
      <w:pPr>
        <w:tabs>
          <w:tab w:val="num" w:pos="2160"/>
        </w:tabs>
        <w:ind w:left="2160" w:hanging="360"/>
      </w:pPr>
      <w:rPr>
        <w:rFonts w:ascii="Arial" w:hAnsi="Arial" w:hint="default"/>
      </w:rPr>
    </w:lvl>
    <w:lvl w:ilvl="3" w:tplc="88DCC48E" w:tentative="1">
      <w:start w:val="1"/>
      <w:numFmt w:val="bullet"/>
      <w:lvlText w:val="●"/>
      <w:lvlJc w:val="left"/>
      <w:pPr>
        <w:tabs>
          <w:tab w:val="num" w:pos="2880"/>
        </w:tabs>
        <w:ind w:left="2880" w:hanging="360"/>
      </w:pPr>
      <w:rPr>
        <w:rFonts w:ascii="Arial" w:hAnsi="Arial" w:hint="default"/>
      </w:rPr>
    </w:lvl>
    <w:lvl w:ilvl="4" w:tplc="19B4740A" w:tentative="1">
      <w:start w:val="1"/>
      <w:numFmt w:val="bullet"/>
      <w:lvlText w:val="●"/>
      <w:lvlJc w:val="left"/>
      <w:pPr>
        <w:tabs>
          <w:tab w:val="num" w:pos="3600"/>
        </w:tabs>
        <w:ind w:left="3600" w:hanging="360"/>
      </w:pPr>
      <w:rPr>
        <w:rFonts w:ascii="Arial" w:hAnsi="Arial" w:hint="default"/>
      </w:rPr>
    </w:lvl>
    <w:lvl w:ilvl="5" w:tplc="31501BCC" w:tentative="1">
      <w:start w:val="1"/>
      <w:numFmt w:val="bullet"/>
      <w:lvlText w:val="●"/>
      <w:lvlJc w:val="left"/>
      <w:pPr>
        <w:tabs>
          <w:tab w:val="num" w:pos="4320"/>
        </w:tabs>
        <w:ind w:left="4320" w:hanging="360"/>
      </w:pPr>
      <w:rPr>
        <w:rFonts w:ascii="Arial" w:hAnsi="Arial" w:hint="default"/>
      </w:rPr>
    </w:lvl>
    <w:lvl w:ilvl="6" w:tplc="D72AF8B2" w:tentative="1">
      <w:start w:val="1"/>
      <w:numFmt w:val="bullet"/>
      <w:lvlText w:val="●"/>
      <w:lvlJc w:val="left"/>
      <w:pPr>
        <w:tabs>
          <w:tab w:val="num" w:pos="5040"/>
        </w:tabs>
        <w:ind w:left="5040" w:hanging="360"/>
      </w:pPr>
      <w:rPr>
        <w:rFonts w:ascii="Arial" w:hAnsi="Arial" w:hint="default"/>
      </w:rPr>
    </w:lvl>
    <w:lvl w:ilvl="7" w:tplc="70C0FC10" w:tentative="1">
      <w:start w:val="1"/>
      <w:numFmt w:val="bullet"/>
      <w:lvlText w:val="●"/>
      <w:lvlJc w:val="left"/>
      <w:pPr>
        <w:tabs>
          <w:tab w:val="num" w:pos="5760"/>
        </w:tabs>
        <w:ind w:left="5760" w:hanging="360"/>
      </w:pPr>
      <w:rPr>
        <w:rFonts w:ascii="Arial" w:hAnsi="Arial" w:hint="default"/>
      </w:rPr>
    </w:lvl>
    <w:lvl w:ilvl="8" w:tplc="8DBE5D5C" w:tentative="1">
      <w:start w:val="1"/>
      <w:numFmt w:val="bullet"/>
      <w:lvlText w:val="●"/>
      <w:lvlJc w:val="left"/>
      <w:pPr>
        <w:tabs>
          <w:tab w:val="num" w:pos="6480"/>
        </w:tabs>
        <w:ind w:left="6480" w:hanging="360"/>
      </w:pPr>
      <w:rPr>
        <w:rFonts w:ascii="Arial" w:hAnsi="Arial" w:hint="default"/>
      </w:rPr>
    </w:lvl>
  </w:abstractNum>
  <w:num w:numId="1" w16cid:durableId="2136947691">
    <w:abstractNumId w:val="0"/>
  </w:num>
  <w:num w:numId="2" w16cid:durableId="130097769">
    <w:abstractNumId w:val="2"/>
  </w:num>
  <w:num w:numId="3" w16cid:durableId="1107508556">
    <w:abstractNumId w:val="3"/>
  </w:num>
  <w:num w:numId="4" w16cid:durableId="684480630">
    <w:abstractNumId w:val="5"/>
  </w:num>
  <w:num w:numId="5" w16cid:durableId="164168806">
    <w:abstractNumId w:val="6"/>
  </w:num>
  <w:num w:numId="6" w16cid:durableId="867641520">
    <w:abstractNumId w:val="4"/>
  </w:num>
  <w:num w:numId="7" w16cid:durableId="1298147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408"/>
    <w:rsid w:val="00021E7B"/>
    <w:rsid w:val="002A3092"/>
    <w:rsid w:val="00600408"/>
    <w:rsid w:val="007A615F"/>
    <w:rsid w:val="007F2FEE"/>
    <w:rsid w:val="008F13EB"/>
    <w:rsid w:val="009D5B58"/>
    <w:rsid w:val="00D30ECA"/>
    <w:rsid w:val="00E76E55"/>
    <w:rsid w:val="00ED4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18DA6A"/>
  <w15:chartTrackingRefBased/>
  <w15:docId w15:val="{1891DE39-90FF-394E-9F93-07D7B7F9A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04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04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04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04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04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04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04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04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04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4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04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04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04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04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04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04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04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0408"/>
    <w:rPr>
      <w:rFonts w:eastAsiaTheme="majorEastAsia" w:cstheme="majorBidi"/>
      <w:color w:val="272727" w:themeColor="text1" w:themeTint="D8"/>
    </w:rPr>
  </w:style>
  <w:style w:type="paragraph" w:styleId="Title">
    <w:name w:val="Title"/>
    <w:basedOn w:val="Normal"/>
    <w:next w:val="Normal"/>
    <w:link w:val="TitleChar"/>
    <w:uiPriority w:val="10"/>
    <w:qFormat/>
    <w:rsid w:val="006004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04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04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04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0408"/>
    <w:pPr>
      <w:spacing w:before="160"/>
      <w:jc w:val="center"/>
    </w:pPr>
    <w:rPr>
      <w:i/>
      <w:iCs/>
      <w:color w:val="404040" w:themeColor="text1" w:themeTint="BF"/>
    </w:rPr>
  </w:style>
  <w:style w:type="character" w:customStyle="1" w:styleId="QuoteChar">
    <w:name w:val="Quote Char"/>
    <w:basedOn w:val="DefaultParagraphFont"/>
    <w:link w:val="Quote"/>
    <w:uiPriority w:val="29"/>
    <w:rsid w:val="00600408"/>
    <w:rPr>
      <w:i/>
      <w:iCs/>
      <w:color w:val="404040" w:themeColor="text1" w:themeTint="BF"/>
    </w:rPr>
  </w:style>
  <w:style w:type="paragraph" w:styleId="ListParagraph">
    <w:name w:val="List Paragraph"/>
    <w:basedOn w:val="Normal"/>
    <w:qFormat/>
    <w:rsid w:val="00600408"/>
    <w:pPr>
      <w:ind w:left="720"/>
      <w:contextualSpacing/>
    </w:pPr>
  </w:style>
  <w:style w:type="character" w:styleId="IntenseEmphasis">
    <w:name w:val="Intense Emphasis"/>
    <w:basedOn w:val="DefaultParagraphFont"/>
    <w:uiPriority w:val="21"/>
    <w:qFormat/>
    <w:rsid w:val="00600408"/>
    <w:rPr>
      <w:i/>
      <w:iCs/>
      <w:color w:val="0F4761" w:themeColor="accent1" w:themeShade="BF"/>
    </w:rPr>
  </w:style>
  <w:style w:type="paragraph" w:styleId="IntenseQuote">
    <w:name w:val="Intense Quote"/>
    <w:basedOn w:val="Normal"/>
    <w:next w:val="Normal"/>
    <w:link w:val="IntenseQuoteChar"/>
    <w:uiPriority w:val="30"/>
    <w:qFormat/>
    <w:rsid w:val="006004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0408"/>
    <w:rPr>
      <w:i/>
      <w:iCs/>
      <w:color w:val="0F4761" w:themeColor="accent1" w:themeShade="BF"/>
    </w:rPr>
  </w:style>
  <w:style w:type="character" w:styleId="IntenseReference">
    <w:name w:val="Intense Reference"/>
    <w:basedOn w:val="DefaultParagraphFont"/>
    <w:uiPriority w:val="32"/>
    <w:qFormat/>
    <w:rsid w:val="00600408"/>
    <w:rPr>
      <w:b/>
      <w:bCs/>
      <w:smallCaps/>
      <w:color w:val="0F4761" w:themeColor="accent1" w:themeShade="BF"/>
      <w:spacing w:val="5"/>
    </w:rPr>
  </w:style>
  <w:style w:type="table" w:styleId="TableGrid">
    <w:name w:val="Table Grid"/>
    <w:basedOn w:val="TableNormal"/>
    <w:uiPriority w:val="59"/>
    <w:rsid w:val="00D30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21E7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021E7B"/>
  </w:style>
  <w:style w:type="character" w:styleId="Hyperlink">
    <w:name w:val="Hyperlink"/>
    <w:basedOn w:val="DefaultParagraphFont"/>
    <w:unhideWhenUsed/>
    <w:rsid w:val="00021E7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016/j.ejrh.2015.02.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11</Pages>
  <Words>2612</Words>
  <Characters>14893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Gonzalez</dc:creator>
  <cp:keywords/>
  <dc:description/>
  <cp:lastModifiedBy>Fernando Gonzalez</cp:lastModifiedBy>
  <cp:revision>3</cp:revision>
  <dcterms:created xsi:type="dcterms:W3CDTF">2026-03-21T18:01:00Z</dcterms:created>
  <dcterms:modified xsi:type="dcterms:W3CDTF">2026-03-21T23:34:00Z</dcterms:modified>
</cp:coreProperties>
</file>