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0383" w14:textId="6DEC335D" w:rsidR="008D43DD" w:rsidRDefault="008D43DD" w:rsidP="008D43DD">
      <w:pPr>
        <w:spacing w:line="240" w:lineRule="auto"/>
        <w:jc w:val="center"/>
        <w:rPr>
          <w:i/>
          <w:iCs/>
        </w:rPr>
      </w:pPr>
      <w:r>
        <w:rPr>
          <w:i/>
          <w:iCs/>
        </w:rPr>
        <w:t>Wildfire Smoke Impacts on Respiratory Parameters of Growing Holstein Heifer Calves</w:t>
      </w:r>
    </w:p>
    <w:p w14:paraId="2C6069F9" w14:textId="678E104D" w:rsidR="008D43DD" w:rsidRDefault="008D43DD" w:rsidP="008D43DD">
      <w:pPr>
        <w:spacing w:line="480" w:lineRule="auto"/>
        <w:jc w:val="center"/>
      </w:pPr>
      <w:r>
        <w:t>By Sierra Lepiane</w:t>
      </w:r>
    </w:p>
    <w:p w14:paraId="3305F95F" w14:textId="3D51709E" w:rsidR="008D43DD" w:rsidRPr="008D43DD" w:rsidRDefault="008D43DD" w:rsidP="008D43DD">
      <w:pPr>
        <w:spacing w:line="480" w:lineRule="auto"/>
        <w:jc w:val="center"/>
        <w:rPr>
          <w:b/>
          <w:bCs/>
        </w:rPr>
      </w:pPr>
      <w:r w:rsidRPr="008D43DD">
        <w:rPr>
          <w:b/>
          <w:bCs/>
        </w:rPr>
        <w:t>Executive Summary</w:t>
      </w:r>
    </w:p>
    <w:p w14:paraId="2E905D75" w14:textId="65921A0C" w:rsidR="008D43DD" w:rsidRDefault="008D43DD" w:rsidP="008D43DD">
      <w:pPr>
        <w:spacing w:line="240" w:lineRule="auto"/>
        <w:jc w:val="center"/>
      </w:pPr>
      <w:r>
        <w:t>Processional Science Master’s Degree in Environmental Science</w:t>
      </w:r>
    </w:p>
    <w:p w14:paraId="283A3FA3" w14:textId="56C4912E" w:rsidR="008D43DD" w:rsidRDefault="008D43DD" w:rsidP="008D43DD">
      <w:pPr>
        <w:spacing w:line="240" w:lineRule="auto"/>
        <w:jc w:val="center"/>
      </w:pPr>
      <w:r>
        <w:t>Oregon State University</w:t>
      </w:r>
    </w:p>
    <w:p w14:paraId="4FF2DA3A" w14:textId="715CA1FE" w:rsidR="008D43DD" w:rsidRDefault="008D43DD" w:rsidP="008D43DD">
      <w:pPr>
        <w:spacing w:line="240" w:lineRule="auto"/>
        <w:jc w:val="center"/>
      </w:pPr>
      <w:r>
        <w:t>March 2026</w:t>
      </w:r>
    </w:p>
    <w:p w14:paraId="1039A5F8" w14:textId="5C8773A6" w:rsidR="008D43DD" w:rsidRDefault="008D43DD" w:rsidP="008D43DD">
      <w:pPr>
        <w:spacing w:line="480" w:lineRule="auto"/>
        <w:rPr>
          <w:b/>
          <w:bCs/>
        </w:rPr>
      </w:pPr>
      <w:r w:rsidRPr="008D43DD">
        <w:rPr>
          <w:b/>
          <w:bCs/>
        </w:rPr>
        <w:t>Introduction</w:t>
      </w:r>
    </w:p>
    <w:p w14:paraId="2556F305" w14:textId="7213FD01" w:rsidR="009B1711" w:rsidRPr="000D24C0" w:rsidRDefault="009B1711" w:rsidP="009B1711">
      <w:pPr>
        <w:spacing w:line="480" w:lineRule="auto"/>
      </w:pPr>
      <w:r w:rsidRPr="000D24C0">
        <w:t xml:space="preserve">Climate change has increased the frequency, duration, and severity of wildfires in the western United States (Westerling, 2016).  These events have potential to alter production in regions with the highest-producing dairy operations in the country (USDA, 2024). Despite this risk, little is known about how smoke particulates affect the health and economic value of the cattle in the dairy industry. </w:t>
      </w:r>
    </w:p>
    <w:p w14:paraId="13B5C90E" w14:textId="77777777" w:rsidR="009B1711" w:rsidRPr="000D24C0" w:rsidRDefault="009B1711" w:rsidP="009B1711">
      <w:pPr>
        <w:spacing w:line="480" w:lineRule="auto"/>
      </w:pPr>
      <w:r w:rsidRPr="000D24C0">
        <w:t>Changes in wildfire activity are well-</w:t>
      </w:r>
      <w:r>
        <w:t xml:space="preserve">researched and </w:t>
      </w:r>
      <w:r w:rsidRPr="000D24C0">
        <w:t>documented. The western U</w:t>
      </w:r>
      <w:r>
        <w:t>nited States</w:t>
      </w:r>
      <w:r w:rsidRPr="000D24C0">
        <w:t xml:space="preserve"> has seen an average increase of 78 days in </w:t>
      </w:r>
      <w:r>
        <w:t xml:space="preserve">the length of the </w:t>
      </w:r>
      <w:r w:rsidRPr="000D24C0">
        <w:t>wildfire period compared to the 1970-</w:t>
      </w:r>
      <w:r>
        <w:t>19</w:t>
      </w:r>
      <w:r w:rsidRPr="000D24C0">
        <w:t xml:space="preserve">80s (Westerling et al., 2006), </w:t>
      </w:r>
      <w:r>
        <w:t xml:space="preserve">an </w:t>
      </w:r>
      <w:r w:rsidRPr="000D24C0">
        <w:t xml:space="preserve">average </w:t>
      </w:r>
      <w:r>
        <w:t xml:space="preserve">increase in burn </w:t>
      </w:r>
      <w:r w:rsidRPr="000D24C0">
        <w:t>area</w:t>
      </w:r>
      <w:r>
        <w:t xml:space="preserve"> of 300-400% since</w:t>
      </w:r>
      <w:r w:rsidRPr="000D24C0">
        <w:t xml:space="preserve"> 1985 (Burke et al., 2021), and a </w:t>
      </w:r>
      <w:r>
        <w:t xml:space="preserve">regionally dependent </w:t>
      </w:r>
      <w:r w:rsidRPr="000D24C0">
        <w:t>static to 50% increase in wildfire severity</w:t>
      </w:r>
      <w:r>
        <w:t xml:space="preserve"> (defined as difficulty to control)</w:t>
      </w:r>
      <w:r w:rsidRPr="000D24C0">
        <w:t xml:space="preserve"> since the 1950s</w:t>
      </w:r>
      <w:r>
        <w:t xml:space="preserve"> </w:t>
      </w:r>
      <w:r w:rsidRPr="000D24C0">
        <w:t xml:space="preserve">(Flannigan et al, 2005). </w:t>
      </w:r>
      <w:r>
        <w:t>The etiology is</w:t>
      </w:r>
      <w:r w:rsidRPr="000D24C0">
        <w:t xml:space="preserve"> multifactorial; fire deficit from </w:t>
      </w:r>
      <w:r>
        <w:t xml:space="preserve">misguided historical </w:t>
      </w:r>
      <w:r w:rsidRPr="000D24C0">
        <w:t xml:space="preserve">forest management is often implicated in increasing activity (Marlon et al., 2012), and drought is an important </w:t>
      </w:r>
      <w:r>
        <w:t xml:space="preserve">climate-change-related </w:t>
      </w:r>
      <w:r w:rsidRPr="000D24C0">
        <w:t>element</w:t>
      </w:r>
      <w:r>
        <w:t xml:space="preserve"> </w:t>
      </w:r>
      <w:r w:rsidRPr="000D24C0">
        <w:t xml:space="preserve">associated with </w:t>
      </w:r>
      <w:r>
        <w:t>increased involved land area</w:t>
      </w:r>
      <w:r w:rsidRPr="000D24C0">
        <w:t xml:space="preserve"> and </w:t>
      </w:r>
      <w:r>
        <w:t xml:space="preserve">with </w:t>
      </w:r>
      <w:r w:rsidRPr="000D24C0">
        <w:t xml:space="preserve">severity (Huang et al., 2020). These trends </w:t>
      </w:r>
      <w:r>
        <w:t>are predicted to be</w:t>
      </w:r>
      <w:r w:rsidRPr="000D24C0">
        <w:t xml:space="preserve"> maintained despite science-led regulatory interference, partially due to </w:t>
      </w:r>
      <w:r>
        <w:t xml:space="preserve">the </w:t>
      </w:r>
      <w:r w:rsidRPr="000D24C0">
        <w:t xml:space="preserve">decreasing capacity of forests </w:t>
      </w:r>
      <w:r>
        <w:t>to act as</w:t>
      </w:r>
      <w:r w:rsidRPr="000D24C0">
        <w:t xml:space="preserve"> a natural carbon sink</w:t>
      </w:r>
      <w:r>
        <w:t xml:space="preserve"> and the positive feedback</w:t>
      </w:r>
      <w:r w:rsidRPr="000D24C0">
        <w:t xml:space="preserve"> </w:t>
      </w:r>
      <w:r>
        <w:lastRenderedPageBreak/>
        <w:t>mechanism with</w:t>
      </w:r>
      <w:r w:rsidRPr="000D24C0">
        <w:t xml:space="preserve"> increasing global temperatures</w:t>
      </w:r>
      <w:r>
        <w:t xml:space="preserve"> in which this situation results</w:t>
      </w:r>
      <w:r w:rsidRPr="000D24C0">
        <w:t xml:space="preserve"> (</w:t>
      </w:r>
      <w:proofErr w:type="spellStart"/>
      <w:r w:rsidRPr="000D24C0">
        <w:t>Halofsky</w:t>
      </w:r>
      <w:proofErr w:type="spellEnd"/>
      <w:r w:rsidRPr="000D24C0">
        <w:t xml:space="preserve"> et al., 2020; Flannigan et al., 2005).</w:t>
      </w:r>
    </w:p>
    <w:p w14:paraId="4B31AD39" w14:textId="2540F491" w:rsidR="009B1711" w:rsidRPr="000D24C0" w:rsidRDefault="009B1711" w:rsidP="009B1711">
      <w:pPr>
        <w:spacing w:line="480" w:lineRule="auto"/>
      </w:pPr>
      <w:r w:rsidRPr="000D24C0">
        <w:t>In humans, wildfire smoke inhalation (and wildfire PM</w:t>
      </w:r>
      <w:r w:rsidRPr="000D24C0">
        <w:rPr>
          <w:vertAlign w:val="subscript"/>
        </w:rPr>
        <w:t>2.5</w:t>
      </w:r>
      <w:r w:rsidRPr="000D24C0">
        <w:t xml:space="preserve"> in particular) has a</w:t>
      </w:r>
      <w:r>
        <w:t xml:space="preserve">n </w:t>
      </w:r>
      <w:r w:rsidRPr="000D24C0">
        <w:t>established associat</w:t>
      </w:r>
      <w:r>
        <w:t>ion</w:t>
      </w:r>
      <w:r w:rsidRPr="000D24C0">
        <w:t xml:space="preserve"> with the development of many medical conditions, including pulmonary disease and death (Liu et al, 2015; Conforti et al., 2018; Amatullah et al., 2012; Morgan et al., 2010). There is little information on how wildfire smoke affects </w:t>
      </w:r>
      <w:r>
        <w:t>non-humans</w:t>
      </w:r>
      <w:r w:rsidRPr="000D24C0">
        <w:t>. Among veterinary species, cattle are known to be particularly susceptible to inhaled agents due to their relatively small gaseous exchange capacity, larger resting ventilation volume, isolated lung lobes and lower</w:t>
      </w:r>
      <w:r>
        <w:t xml:space="preserve"> than</w:t>
      </w:r>
      <w:r w:rsidRPr="000D24C0">
        <w:t xml:space="preserve"> average </w:t>
      </w:r>
      <w:r>
        <w:t>presence of</w:t>
      </w:r>
      <w:r w:rsidRPr="000D24C0">
        <w:t xml:space="preserve"> alveolar macrophages and lysozymes (Veit &amp; Farrell, 1978).</w:t>
      </w:r>
      <w:r>
        <w:t xml:space="preserve"> Even if a calf recovers from respiratory disease, she has long-term consequences to her performance. These animals are shown to have lower growth rates, lower first-lactational yields, and are more likely to be culled, die, or be otherwise removed from the herd before their first parturition than those that were not afflicted with calfhood BRDC (</w:t>
      </w:r>
      <w:proofErr w:type="spellStart"/>
      <w:r>
        <w:t>Buczinski</w:t>
      </w:r>
      <w:proofErr w:type="spellEnd"/>
      <w:r>
        <w:t>, Achard &amp; Timsit, 2021).</w:t>
      </w:r>
    </w:p>
    <w:p w14:paraId="3AB585D8" w14:textId="339664EB" w:rsidR="008D43DD" w:rsidRDefault="008D43DD" w:rsidP="008D43DD">
      <w:pPr>
        <w:spacing w:line="480" w:lineRule="auto"/>
      </w:pPr>
      <w:r>
        <w:rPr>
          <w:b/>
          <w:bCs/>
        </w:rPr>
        <w:t>Scientific Report</w:t>
      </w:r>
    </w:p>
    <w:p w14:paraId="794D3A85" w14:textId="09ECDACF" w:rsidR="009B1711" w:rsidRPr="00EC2892" w:rsidRDefault="009B1711" w:rsidP="009B1711">
      <w:pPr>
        <w:spacing w:line="480" w:lineRule="auto"/>
      </w:pPr>
      <w:r>
        <w:t>The respiratory rate and</w:t>
      </w:r>
      <w:r w:rsidR="004370BB">
        <w:t xml:space="preserve"> pulmonary</w:t>
      </w:r>
      <w:r>
        <w:t xml:space="preserve"> </w:t>
      </w:r>
      <w:r w:rsidR="004370BB">
        <w:t>ultrasound score</w:t>
      </w:r>
      <w:r>
        <w:t xml:space="preserve"> of the control group were not found to be correlated to temperature, humidity or below-threshold changes in PM</w:t>
      </w:r>
      <w:r>
        <w:rPr>
          <w:vertAlign w:val="subscript"/>
        </w:rPr>
        <w:t>2.5</w:t>
      </w:r>
      <w:r>
        <w:t>. Variability in genetics may have contributed to changes in the data between the two groups.</w:t>
      </w:r>
    </w:p>
    <w:p w14:paraId="22CAFC7A" w14:textId="6D89B3B7" w:rsidR="009B1711" w:rsidRDefault="009B1711" w:rsidP="009B1711">
      <w:pPr>
        <w:spacing w:line="480" w:lineRule="auto"/>
      </w:pPr>
      <w:r w:rsidRPr="000D24C0">
        <w:t xml:space="preserve">Fine particulate matter </w:t>
      </w:r>
      <w:r w:rsidR="004370BB">
        <w:t>wa</w:t>
      </w:r>
      <w:r w:rsidRPr="000D24C0">
        <w:t>s found to be associated with</w:t>
      </w:r>
      <w:r>
        <w:t xml:space="preserve"> an </w:t>
      </w:r>
      <w:r w:rsidRPr="000D24C0">
        <w:t>increase</w:t>
      </w:r>
      <w:r>
        <w:t>d incidence and severity</w:t>
      </w:r>
      <w:r w:rsidRPr="000D24C0">
        <w:t xml:space="preserve"> respiratory disease in growing heifer calves as illustrated by pulmonary ultrasound</w:t>
      </w:r>
      <w:r w:rsidR="00C249B5">
        <w:t xml:space="preserve"> (Figure 1)</w:t>
      </w:r>
      <w:r w:rsidRPr="000D24C0">
        <w:t xml:space="preserve">. It was not found to have a </w:t>
      </w:r>
      <w:r>
        <w:t>correlation with</w:t>
      </w:r>
      <w:r w:rsidRPr="000D24C0">
        <w:t xml:space="preserve"> respiratory rate</w:t>
      </w:r>
      <w:r>
        <w:t>, perhaps indicating that the relationship to disease is mild</w:t>
      </w:r>
      <w:r w:rsidRPr="000D24C0">
        <w:t>.</w:t>
      </w:r>
      <w:r>
        <w:t xml:space="preserve"> </w:t>
      </w:r>
      <w:r w:rsidRPr="000D24C0">
        <w:t xml:space="preserve">Atmospheric smoke exposure within the first few months of age </w:t>
      </w:r>
      <w:r w:rsidRPr="000D24C0">
        <w:lastRenderedPageBreak/>
        <w:t>was found to have a negative association with heifer growth that may extend up to and potentially beyond the first year of life</w:t>
      </w:r>
      <w:r w:rsidR="00C249B5">
        <w:t xml:space="preserve"> (Figure 2)</w:t>
      </w:r>
      <w:r w:rsidRPr="000D24C0">
        <w:t>.</w:t>
      </w:r>
      <w:r>
        <w:t xml:space="preserve"> This has the potential to impact the ability to bring a healthy calf to term and to produce milk, and should be an important consideration for the dairy industry.</w:t>
      </w:r>
    </w:p>
    <w:p w14:paraId="5ADC4B9A" w14:textId="504D297D" w:rsidR="00C249B5" w:rsidRDefault="00C249B5" w:rsidP="009B1711">
      <w:pPr>
        <w:spacing w:line="480" w:lineRule="auto"/>
      </w:pPr>
      <w:r w:rsidRPr="000D24C0">
        <w:rPr>
          <w:noProof/>
        </w:rPr>
        <w:drawing>
          <wp:inline distT="0" distB="0" distL="0" distR="0" wp14:anchorId="3B3D7262" wp14:editId="4E3868A9">
            <wp:extent cx="5486400" cy="3064934"/>
            <wp:effectExtent l="0" t="0" r="0" b="2540"/>
            <wp:docPr id="1314340532" name="Chart 1">
              <a:extLst xmlns:a="http://schemas.openxmlformats.org/drawingml/2006/main">
                <a:ext uri="{FF2B5EF4-FFF2-40B4-BE49-F238E27FC236}">
                  <a16:creationId xmlns:a16="http://schemas.microsoft.com/office/drawing/2014/main" id="{DEF84182-50B4-4CDA-8632-A24EDB4E8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7C70D8" w14:textId="4FDB2C33" w:rsidR="00C249B5" w:rsidRPr="00C249B5" w:rsidRDefault="00C249B5" w:rsidP="009B1711">
      <w:pPr>
        <w:spacing w:line="480" w:lineRule="auto"/>
        <w:rPr>
          <w:i/>
          <w:iCs/>
        </w:rPr>
      </w:pPr>
      <w:r>
        <w:rPr>
          <w:i/>
          <w:iCs/>
        </w:rPr>
        <w:t xml:space="preserve">Figure 1: </w:t>
      </w:r>
      <w:r w:rsidRPr="000D24C0">
        <w:rPr>
          <w:i/>
          <w:iCs/>
        </w:rPr>
        <w:t xml:space="preserve">Figure </w:t>
      </w:r>
      <w:r>
        <w:rPr>
          <w:i/>
          <w:iCs/>
        </w:rPr>
        <w:t>18</w:t>
      </w:r>
      <w:r w:rsidRPr="000D24C0">
        <w:rPr>
          <w:i/>
          <w:iCs/>
        </w:rPr>
        <w:t xml:space="preserve">: Average pulmonary ultrasound scores using the </w:t>
      </w:r>
      <w:proofErr w:type="spellStart"/>
      <w:r w:rsidRPr="000D24C0">
        <w:rPr>
          <w:i/>
          <w:iCs/>
        </w:rPr>
        <w:t>CalfScan</w:t>
      </w:r>
      <w:proofErr w:type="spellEnd"/>
      <w:r w:rsidRPr="000D24C0">
        <w:rPr>
          <w:i/>
          <w:iCs/>
        </w:rPr>
        <w:t xml:space="preserve"> technique. The blue line indicates the smoke</w:t>
      </w:r>
      <w:r>
        <w:rPr>
          <w:i/>
          <w:iCs/>
        </w:rPr>
        <w:t xml:space="preserve"> event</w:t>
      </w:r>
      <w:r w:rsidRPr="000D24C0">
        <w:rPr>
          <w:i/>
          <w:iCs/>
        </w:rPr>
        <w:t xml:space="preserve"> when the calves were </w:t>
      </w:r>
      <w:r>
        <w:rPr>
          <w:i/>
          <w:iCs/>
        </w:rPr>
        <w:t xml:space="preserve">an average of </w:t>
      </w:r>
      <w:r w:rsidRPr="000D24C0">
        <w:rPr>
          <w:i/>
          <w:iCs/>
        </w:rPr>
        <w:t>62 days old.</w:t>
      </w:r>
    </w:p>
    <w:p w14:paraId="609B4278" w14:textId="3F51CDA3" w:rsidR="00C249B5" w:rsidRPr="000D24C0" w:rsidRDefault="00C249B5" w:rsidP="009B1711">
      <w:pPr>
        <w:spacing w:line="480" w:lineRule="auto"/>
      </w:pPr>
      <w:r w:rsidRPr="000D24C0">
        <w:rPr>
          <w:noProof/>
        </w:rPr>
        <w:lastRenderedPageBreak/>
        <w:drawing>
          <wp:inline distT="0" distB="0" distL="0" distR="0" wp14:anchorId="404AAA1A" wp14:editId="4CD8AC42">
            <wp:extent cx="5486400" cy="3556000"/>
            <wp:effectExtent l="0" t="0" r="0" b="6350"/>
            <wp:docPr id="1814651188" name="Chart 1">
              <a:extLst xmlns:a="http://schemas.openxmlformats.org/drawingml/2006/main">
                <a:ext uri="{FF2B5EF4-FFF2-40B4-BE49-F238E27FC236}">
                  <a16:creationId xmlns:a16="http://schemas.microsoft.com/office/drawing/2014/main" id="{DD98E17B-2172-1C79-264F-37742586D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8A795F" w14:textId="4EE7432D" w:rsidR="00C249B5" w:rsidRDefault="00C249B5" w:rsidP="008D43DD">
      <w:pPr>
        <w:spacing w:line="480" w:lineRule="auto"/>
        <w:rPr>
          <w:i/>
          <w:iCs/>
        </w:rPr>
      </w:pPr>
      <w:r w:rsidRPr="000D24C0">
        <w:rPr>
          <w:i/>
          <w:iCs/>
        </w:rPr>
        <w:t xml:space="preserve">Figure </w:t>
      </w:r>
      <w:r>
        <w:rPr>
          <w:i/>
          <w:iCs/>
        </w:rPr>
        <w:t>2</w:t>
      </w:r>
      <w:r w:rsidRPr="000D24C0">
        <w:rPr>
          <w:i/>
          <w:iCs/>
        </w:rPr>
        <w:t>: Average weights of each group over time. Both least-squares linear regression lines fit with an R</w:t>
      </w:r>
      <w:r w:rsidRPr="000D24C0">
        <w:rPr>
          <w:i/>
          <w:iCs/>
          <w:vertAlign w:val="superscript"/>
        </w:rPr>
        <w:t>2</w:t>
      </w:r>
      <w:r w:rsidRPr="000D24C0">
        <w:rPr>
          <w:i/>
          <w:iCs/>
        </w:rPr>
        <w:t xml:space="preserve"> &gt;0.98. The control growth rate is 1.01 kg/d and the experimental growth rate is 0.79 kg/d.</w:t>
      </w:r>
    </w:p>
    <w:p w14:paraId="2BC23037" w14:textId="53FBEB9B" w:rsidR="008D43DD" w:rsidRDefault="008D43DD" w:rsidP="008D43DD">
      <w:pPr>
        <w:spacing w:line="480" w:lineRule="auto"/>
        <w:rPr>
          <w:b/>
          <w:bCs/>
        </w:rPr>
      </w:pPr>
      <w:r>
        <w:rPr>
          <w:b/>
          <w:bCs/>
        </w:rPr>
        <w:t>Business Report</w:t>
      </w:r>
    </w:p>
    <w:p w14:paraId="2FF4593A" w14:textId="77777777" w:rsidR="009B1711" w:rsidRDefault="009B1711" w:rsidP="009B1711">
      <w:pPr>
        <w:spacing w:line="480" w:lineRule="auto"/>
      </w:pPr>
      <w:r>
        <w:t>The stakeholders in this research are dairy producers worldwide but specifically in the western United States</w:t>
      </w:r>
      <w:r w:rsidRPr="000D24C0">
        <w:t>—</w:t>
      </w:r>
      <w:r>
        <w:t>where wildfire events are projected to increase in severity</w:t>
      </w:r>
      <w:r w:rsidRPr="000D24C0">
        <w:t>—</w:t>
      </w:r>
      <w:r>
        <w:t xml:space="preserve">as well as members of the agriculture, food and beverage, and manufacturing industries with interests in dairy products. Since the recognition of wildfire trends and publications made by the scientific community, members of the dairy industry have started to express interest in how these current and projected changes will impact their livelihoods. </w:t>
      </w:r>
    </w:p>
    <w:p w14:paraId="138B157D" w14:textId="7217A493" w:rsidR="009B1711" w:rsidRDefault="009B1711" w:rsidP="009B1711">
      <w:pPr>
        <w:spacing w:line="480" w:lineRule="auto"/>
      </w:pPr>
      <w:r>
        <w:lastRenderedPageBreak/>
        <w:t>The lack of research in this area requires that the risk be defined before studies into mitigation options can be properly employed. There are substantial existing resources published by government, university, and unaffiliated agricultural groups for limiting damage to livestock operations, but generally the information pertains to animals that had direct contact with fire or respiratory burns from heavy smoke inhalation (Ranches, 2020; Oregon State University Extension Service, 2025; EPA, 2021; Ledbetter, 2011). Government relief programs for wildlife damage to producers covers only direct losses of livestock, feed, or grazing land, and does not take into account damage from low-level smoke inhalation to the health and production of the animals (USDA, 202</w:t>
      </w:r>
      <w:r w:rsidR="009077AA">
        <w:t>0</w:t>
      </w:r>
      <w:r>
        <w:t>). This is why this research is important to producers that are potentially impacted from long distance smoke drift; if the data show that there is a significant difference in milk production, then dairies can seek out ways to prevent damage or receive governmental support for losses. This information only becomes more important over time as wildfire activity increases.</w:t>
      </w:r>
    </w:p>
    <w:p w14:paraId="71E8E914" w14:textId="4045C369" w:rsidR="008D43DD" w:rsidRDefault="008D43DD" w:rsidP="008D43DD">
      <w:pPr>
        <w:spacing w:line="480" w:lineRule="auto"/>
        <w:rPr>
          <w:b/>
          <w:bCs/>
        </w:rPr>
      </w:pPr>
      <w:r>
        <w:rPr>
          <w:b/>
          <w:bCs/>
        </w:rPr>
        <w:t>Summary</w:t>
      </w:r>
    </w:p>
    <w:p w14:paraId="1D71571C" w14:textId="42EF53C1" w:rsidR="009B1711" w:rsidRDefault="009B1711" w:rsidP="009B1711">
      <w:pPr>
        <w:spacing w:line="480" w:lineRule="auto"/>
      </w:pPr>
      <w:r>
        <w:t>Some of the value I provided to the project was from completing my assigned tasks of caring for the subjects, preparing and collecting samples, and running errands that could be done by any worker. I also contributed additional value with my own expertise. I became the primary ultrasound technician for the control group in which my previous experience was useful for the project. I was able to match my subjective scoring fairly well with the experimental group sonographer since I was comfortable reading the screen when we were first trained. Likely the data yielded from the pulmonary ultrasound scoring was somewhat less operator-dependent because of it.</w:t>
      </w:r>
    </w:p>
    <w:p w14:paraId="20278957" w14:textId="77777777" w:rsidR="009B1711" w:rsidRDefault="009B1711" w:rsidP="009B1711">
      <w:pPr>
        <w:spacing w:line="480" w:lineRule="auto"/>
      </w:pPr>
      <w:r>
        <w:lastRenderedPageBreak/>
        <w:t xml:space="preserve">In large part, my value came from the medical oversight I could provide to the animals due to my veterinary training. Some of the medical conditions I detected and treated were corneal ulcers, an abscessed ear tag site, horn bud paste burns and one maggot-infected wound sequela, abscesses of the buccal mucosa, recurrent diarrhea, pneumonia, and dermatophytosis (ringworm). The diseases I identified and carried out treatments for under qualified veterinary direction included septic arthritis, mastitis, lameness, severe suppurative pulmonary disease, septic diarrheal disease, and pyloric outflow obstruction. If someone without my experience had been in my role, these problems would have likely accrued additional expenses due to later recognition of illness and therefore exacerbation of it. Also, the simpler conditions that I was able to treat on my own may have required professional treatment. </w:t>
      </w:r>
    </w:p>
    <w:p w14:paraId="1DEE09A1" w14:textId="144CBF06" w:rsidR="009B1711" w:rsidRDefault="009B1711" w:rsidP="009B1711">
      <w:pPr>
        <w:spacing w:line="480" w:lineRule="auto"/>
      </w:pPr>
      <w:r>
        <w:t xml:space="preserve">I have gained ample experience and skills from this project that will impact my future </w:t>
      </w:r>
      <w:r w:rsidR="004370BB">
        <w:t xml:space="preserve">veterinary </w:t>
      </w:r>
      <w:r>
        <w:t>career. The calf-raising experience in itself was vital, and I also learned how to tube-feed, perform transtracheal wash, and thoracic ultrasound scoring for calves. I learned a lot about the dairy industry from Dr. Cruickshank, a subject on which I was a complete neophyte. I only had experience with a small beef operation prior to this experience. I was also very happy to get the small amount of laboratory experience I was able to obtain on this project. This internship was comprehensively favorable to me and my future career.</w:t>
      </w:r>
    </w:p>
    <w:p w14:paraId="73139E8B" w14:textId="77777777" w:rsidR="00C249B5" w:rsidRDefault="00C249B5" w:rsidP="009B1711">
      <w:pPr>
        <w:spacing w:line="480" w:lineRule="auto"/>
        <w:rPr>
          <w:b/>
          <w:bCs/>
        </w:rPr>
      </w:pPr>
    </w:p>
    <w:p w14:paraId="338F3B6E" w14:textId="77777777" w:rsidR="00C249B5" w:rsidRDefault="00C249B5" w:rsidP="009B1711">
      <w:pPr>
        <w:spacing w:line="480" w:lineRule="auto"/>
        <w:rPr>
          <w:b/>
          <w:bCs/>
        </w:rPr>
      </w:pPr>
    </w:p>
    <w:p w14:paraId="0EAC5BB1" w14:textId="77777777" w:rsidR="00C249B5" w:rsidRDefault="00C249B5" w:rsidP="009B1711">
      <w:pPr>
        <w:spacing w:line="480" w:lineRule="auto"/>
        <w:rPr>
          <w:b/>
          <w:bCs/>
        </w:rPr>
      </w:pPr>
    </w:p>
    <w:p w14:paraId="74152F74" w14:textId="77777777" w:rsidR="00C249B5" w:rsidRDefault="00C249B5" w:rsidP="009B1711">
      <w:pPr>
        <w:spacing w:line="480" w:lineRule="auto"/>
        <w:rPr>
          <w:b/>
          <w:bCs/>
        </w:rPr>
      </w:pPr>
    </w:p>
    <w:p w14:paraId="102832A7" w14:textId="054646C2" w:rsidR="004370BB" w:rsidRDefault="004370BB" w:rsidP="009B1711">
      <w:pPr>
        <w:spacing w:line="480" w:lineRule="auto"/>
      </w:pPr>
      <w:r>
        <w:rPr>
          <w:b/>
          <w:bCs/>
        </w:rPr>
        <w:lastRenderedPageBreak/>
        <w:t>References</w:t>
      </w:r>
    </w:p>
    <w:p w14:paraId="0A893F9C" w14:textId="77777777" w:rsidR="004370BB" w:rsidRPr="00C249B5" w:rsidRDefault="004370BB" w:rsidP="009077AA">
      <w:pPr>
        <w:spacing w:line="240" w:lineRule="auto"/>
        <w:ind w:left="720" w:hanging="720"/>
      </w:pPr>
      <w:r w:rsidRPr="000D24C0">
        <w:t xml:space="preserve">Amatullah H, North ML, Akhtar US, Rastogi N, Urch B, Silverman FS, Chow CW, Evans GJ, </w:t>
      </w:r>
      <w:r>
        <w:t xml:space="preserve">&amp; </w:t>
      </w:r>
      <w:r w:rsidRPr="000D24C0">
        <w:t xml:space="preserve">Scott JA. (2012). Comparative cardiopulmonary effects of size-fractionated airborne particulate matter. </w:t>
      </w:r>
      <w:r w:rsidRPr="000D24C0">
        <w:rPr>
          <w:i/>
          <w:iCs/>
        </w:rPr>
        <w:t>Inhalation Toxicology, 24</w:t>
      </w:r>
      <w:r w:rsidRPr="0044302A">
        <w:t>(3),</w:t>
      </w:r>
      <w:r>
        <w:rPr>
          <w:i/>
          <w:iCs/>
        </w:rPr>
        <w:t xml:space="preserve"> </w:t>
      </w:r>
      <w:r w:rsidRPr="000D24C0">
        <w:t xml:space="preserve">161–171. </w:t>
      </w:r>
      <w:hyperlink r:id="rId8" w:history="1">
        <w:r w:rsidRPr="00C249B5">
          <w:rPr>
            <w:rStyle w:val="Hyperlink"/>
          </w:rPr>
          <w:t>https://doi.org/10 .3109/08958378.2011.650235</w:t>
        </w:r>
      </w:hyperlink>
    </w:p>
    <w:p w14:paraId="5C18E3D7" w14:textId="77777777" w:rsidR="004370BB" w:rsidRPr="004370BB" w:rsidRDefault="004370BB" w:rsidP="009077AA">
      <w:pPr>
        <w:spacing w:line="240" w:lineRule="auto"/>
        <w:ind w:left="720" w:hanging="720"/>
        <w:rPr>
          <w:lang w:val="es-MX"/>
        </w:rPr>
      </w:pPr>
      <w:proofErr w:type="spellStart"/>
      <w:r w:rsidRPr="000D24C0">
        <w:t>Buczinski</w:t>
      </w:r>
      <w:proofErr w:type="spellEnd"/>
      <w:r w:rsidRPr="000D24C0">
        <w:t xml:space="preserve"> S, </w:t>
      </w:r>
      <w:r>
        <w:t>A</w:t>
      </w:r>
      <w:r w:rsidRPr="000D24C0">
        <w:t>chard</w:t>
      </w:r>
      <w:r>
        <w:t xml:space="preserve"> D</w:t>
      </w:r>
      <w:r w:rsidRPr="000D24C0">
        <w:t xml:space="preserve">, </w:t>
      </w:r>
      <w:r>
        <w:t xml:space="preserve">&amp; </w:t>
      </w:r>
      <w:r w:rsidRPr="000D24C0">
        <w:t>Timsit</w:t>
      </w:r>
      <w:r>
        <w:t xml:space="preserve"> E</w:t>
      </w:r>
      <w:r w:rsidRPr="000D24C0">
        <w:t xml:space="preserve">. </w:t>
      </w:r>
      <w:r>
        <w:t>(</w:t>
      </w:r>
      <w:r w:rsidRPr="000D24C0">
        <w:t>2021</w:t>
      </w:r>
      <w:r>
        <w:t>)</w:t>
      </w:r>
      <w:r w:rsidRPr="000D24C0">
        <w:t>. Effects of calfhood respiratory disease on health and performance of dairy cattle: a systematic review and meta-analysis</w:t>
      </w:r>
      <w:r>
        <w:t xml:space="preserve">. </w:t>
      </w:r>
      <w:proofErr w:type="spellStart"/>
      <w:r w:rsidRPr="004370BB">
        <w:rPr>
          <w:i/>
          <w:iCs/>
          <w:lang w:val="es-MX"/>
        </w:rPr>
        <w:t>Journal</w:t>
      </w:r>
      <w:proofErr w:type="spellEnd"/>
      <w:r w:rsidRPr="004370BB">
        <w:rPr>
          <w:i/>
          <w:iCs/>
          <w:lang w:val="es-MX"/>
        </w:rPr>
        <w:t xml:space="preserve"> </w:t>
      </w:r>
      <w:proofErr w:type="spellStart"/>
      <w:r w:rsidRPr="004370BB">
        <w:rPr>
          <w:i/>
          <w:iCs/>
          <w:lang w:val="es-MX"/>
        </w:rPr>
        <w:t>of</w:t>
      </w:r>
      <w:proofErr w:type="spellEnd"/>
      <w:r w:rsidRPr="004370BB">
        <w:rPr>
          <w:i/>
          <w:iCs/>
          <w:lang w:val="es-MX"/>
        </w:rPr>
        <w:t xml:space="preserve"> Dairy </w:t>
      </w:r>
      <w:proofErr w:type="spellStart"/>
      <w:r w:rsidRPr="004370BB">
        <w:rPr>
          <w:i/>
          <w:iCs/>
          <w:lang w:val="es-MX"/>
        </w:rPr>
        <w:t>Science</w:t>
      </w:r>
      <w:proofErr w:type="spellEnd"/>
      <w:r w:rsidRPr="004370BB">
        <w:rPr>
          <w:i/>
          <w:iCs/>
          <w:lang w:val="es-MX"/>
        </w:rPr>
        <w:t>, 104</w:t>
      </w:r>
      <w:r w:rsidRPr="004370BB">
        <w:rPr>
          <w:lang w:val="es-MX"/>
        </w:rPr>
        <w:t>(7)</w:t>
      </w:r>
      <w:r w:rsidRPr="004370BB">
        <w:rPr>
          <w:i/>
          <w:iCs/>
          <w:lang w:val="es-MX"/>
        </w:rPr>
        <w:t xml:space="preserve">, </w:t>
      </w:r>
      <w:r w:rsidRPr="004370BB">
        <w:rPr>
          <w:lang w:val="es-MX"/>
        </w:rPr>
        <w:t xml:space="preserve">8214–8227. </w:t>
      </w:r>
      <w:hyperlink r:id="rId9" w:history="1">
        <w:r w:rsidRPr="004370BB">
          <w:rPr>
            <w:rStyle w:val="Hyperlink"/>
            <w:lang w:val="es-MX"/>
          </w:rPr>
          <w:t>https://doi.org/10.3168/jds.2020-19941</w:t>
        </w:r>
      </w:hyperlink>
    </w:p>
    <w:p w14:paraId="2514313A" w14:textId="77777777" w:rsidR="004370BB" w:rsidRPr="000D24C0" w:rsidRDefault="004370BB" w:rsidP="009077AA">
      <w:pPr>
        <w:spacing w:line="240" w:lineRule="auto"/>
        <w:ind w:left="720" w:hanging="720"/>
      </w:pPr>
      <w:r w:rsidRPr="006174B9">
        <w:rPr>
          <w:lang w:val="es-MX"/>
        </w:rPr>
        <w:t xml:space="preserve">Conforti, A, Mascia M, Cioffi G, De Angelis C, Coppola G, De Rosa P, </w:t>
      </w:r>
      <w:proofErr w:type="spellStart"/>
      <w:r w:rsidRPr="006174B9">
        <w:rPr>
          <w:lang w:val="es-MX"/>
        </w:rPr>
        <w:t>Pivonello</w:t>
      </w:r>
      <w:proofErr w:type="spellEnd"/>
      <w:r w:rsidRPr="006174B9">
        <w:rPr>
          <w:lang w:val="es-MX"/>
        </w:rPr>
        <w:t xml:space="preserve"> R, </w:t>
      </w:r>
      <w:proofErr w:type="spellStart"/>
      <w:r w:rsidRPr="006174B9">
        <w:rPr>
          <w:lang w:val="es-MX"/>
        </w:rPr>
        <w:t>Alviggi</w:t>
      </w:r>
      <w:proofErr w:type="spellEnd"/>
      <w:r w:rsidRPr="006174B9">
        <w:rPr>
          <w:lang w:val="es-MX"/>
        </w:rPr>
        <w:t xml:space="preserve"> C, &amp; De Placido G. (2018). </w:t>
      </w:r>
      <w:r w:rsidRPr="000D24C0">
        <w:t xml:space="preserve">Air pollution and female fertility: A systematic review of literature. </w:t>
      </w:r>
      <w:r w:rsidRPr="000D24C0">
        <w:rPr>
          <w:i/>
          <w:iCs/>
        </w:rPr>
        <w:t>Reproductive Biology and Endocrinology, 16</w:t>
      </w:r>
      <w:r w:rsidRPr="00F00BA7">
        <w:t>(1)</w:t>
      </w:r>
      <w:r>
        <w:rPr>
          <w:i/>
          <w:iCs/>
        </w:rPr>
        <w:t xml:space="preserve">, </w:t>
      </w:r>
      <w:r w:rsidRPr="000D24C0">
        <w:t xml:space="preserve">117. </w:t>
      </w:r>
      <w:hyperlink r:id="rId10" w:history="1">
        <w:r w:rsidRPr="000D24C0">
          <w:rPr>
            <w:rStyle w:val="Hyperlink"/>
          </w:rPr>
          <w:t>https://doi.org/10.1186/s12958-018-0433-z</w:t>
        </w:r>
      </w:hyperlink>
      <w:r w:rsidRPr="000D24C0">
        <w:t xml:space="preserve"> </w:t>
      </w:r>
    </w:p>
    <w:p w14:paraId="46973BD1" w14:textId="77777777" w:rsidR="004370BB" w:rsidRPr="000D24C0" w:rsidRDefault="004370BB" w:rsidP="009077AA">
      <w:pPr>
        <w:spacing w:line="240" w:lineRule="auto"/>
        <w:ind w:left="720" w:hanging="720"/>
      </w:pPr>
      <w:r w:rsidRPr="000D24C0">
        <w:t xml:space="preserve">Flannigan MD, </w:t>
      </w:r>
      <w:proofErr w:type="spellStart"/>
      <w:r w:rsidRPr="000D24C0">
        <w:t>Amiro</w:t>
      </w:r>
      <w:proofErr w:type="spellEnd"/>
      <w:r w:rsidRPr="000D24C0">
        <w:t xml:space="preserve"> BD, Logan KA, Stocks BJ, </w:t>
      </w:r>
      <w:r>
        <w:t xml:space="preserve">&amp; </w:t>
      </w:r>
      <w:r w:rsidRPr="000D24C0">
        <w:t xml:space="preserve">Wotton BM. (2005). Forest fires and climate change in the 21st century. </w:t>
      </w:r>
      <w:r w:rsidRPr="000D24C0">
        <w:rPr>
          <w:i/>
          <w:iCs/>
        </w:rPr>
        <w:t>Mitigation and Adaptation Strategies for Global Change 11</w:t>
      </w:r>
      <w:r w:rsidRPr="00F00BA7">
        <w:t xml:space="preserve">(4), </w:t>
      </w:r>
      <w:r w:rsidRPr="000D24C0">
        <w:t xml:space="preserve">847–859. </w:t>
      </w:r>
      <w:hyperlink r:id="rId11" w:history="1">
        <w:r w:rsidRPr="000D24C0">
          <w:rPr>
            <w:rStyle w:val="Hyperlink"/>
          </w:rPr>
          <w:t>https://doi.org/10.1007/s11027-005-9020-7</w:t>
        </w:r>
      </w:hyperlink>
    </w:p>
    <w:p w14:paraId="052DF632" w14:textId="77777777" w:rsidR="004370BB" w:rsidRPr="000D24C0" w:rsidRDefault="004370BB" w:rsidP="009077AA">
      <w:pPr>
        <w:spacing w:line="240" w:lineRule="auto"/>
        <w:ind w:left="720" w:hanging="720"/>
      </w:pPr>
      <w:proofErr w:type="spellStart"/>
      <w:r w:rsidRPr="000D24C0">
        <w:t>Halofsky</w:t>
      </w:r>
      <w:proofErr w:type="spellEnd"/>
      <w:r w:rsidRPr="000D24C0">
        <w:t xml:space="preserve"> JE, Peterson DL, </w:t>
      </w:r>
      <w:r>
        <w:t xml:space="preserve">&amp; </w:t>
      </w:r>
      <w:r w:rsidRPr="000D24C0">
        <w:t xml:space="preserve">Harvey BJ. (2020). Changing wildfire, changing forests: the effects of climate change on fire regimes and vegetation in the Pacific Northwest, USA. </w:t>
      </w:r>
      <w:r w:rsidRPr="000D24C0">
        <w:rPr>
          <w:i/>
          <w:iCs/>
        </w:rPr>
        <w:t>Fire Ecology, 16</w:t>
      </w:r>
      <w:r w:rsidRPr="00F00BA7">
        <w:t>(1), 1-26</w:t>
      </w:r>
      <w:r w:rsidRPr="000D24C0">
        <w:t xml:space="preserve">. </w:t>
      </w:r>
      <w:hyperlink r:id="rId12" w:history="1">
        <w:r w:rsidRPr="00935295">
          <w:rPr>
            <w:rStyle w:val="Hyperlink"/>
          </w:rPr>
          <w:t>https://doi.org/10.1186/s42408-019-0062-8</w:t>
        </w:r>
      </w:hyperlink>
    </w:p>
    <w:p w14:paraId="5EA8E53C" w14:textId="77777777" w:rsidR="004370BB" w:rsidRPr="000D24C0" w:rsidRDefault="004370BB" w:rsidP="009077AA">
      <w:pPr>
        <w:spacing w:line="240" w:lineRule="auto"/>
        <w:ind w:left="720" w:hanging="720"/>
      </w:pPr>
      <w:r w:rsidRPr="000D24C0">
        <w:t xml:space="preserve">Huang Y, Jin Y, Schwartz MW, </w:t>
      </w:r>
      <w:r>
        <w:t xml:space="preserve">&amp; </w:t>
      </w:r>
      <w:r w:rsidRPr="000D24C0">
        <w:t xml:space="preserve">Thorne JH. (2020). Intensified burn severity in California’s northern coastal mountains by drier climatic condition. </w:t>
      </w:r>
      <w:r w:rsidRPr="000D24C0">
        <w:rPr>
          <w:i/>
          <w:iCs/>
        </w:rPr>
        <w:t>Environmental Research Letters, 15</w:t>
      </w:r>
      <w:r w:rsidRPr="00F00BA7">
        <w:t>(10)</w:t>
      </w:r>
      <w:r w:rsidRPr="000D24C0">
        <w:t xml:space="preserve">, 104033. </w:t>
      </w:r>
    </w:p>
    <w:p w14:paraId="54D2ECD7" w14:textId="77777777" w:rsidR="009077AA" w:rsidRDefault="009077AA" w:rsidP="009077AA">
      <w:pPr>
        <w:spacing w:line="240" w:lineRule="auto"/>
        <w:ind w:left="720" w:hanging="720"/>
      </w:pPr>
      <w:r w:rsidRPr="000D24C0">
        <w:t xml:space="preserve">Ledbetter, K. </w:t>
      </w:r>
      <w:r>
        <w:t xml:space="preserve">(2011, April 19). </w:t>
      </w:r>
      <w:r w:rsidRPr="00C57C6F">
        <w:rPr>
          <w:i/>
          <w:iCs/>
        </w:rPr>
        <w:t>Wildfire damage to cattle may be more than the eye can see</w:t>
      </w:r>
      <w:r w:rsidRPr="000D24C0">
        <w:t>. In AgriLife Today; Texas A&amp;M University: Amarillo, TX, USA</w:t>
      </w:r>
      <w:r>
        <w:t>.</w:t>
      </w:r>
    </w:p>
    <w:p w14:paraId="2199DCF0" w14:textId="77777777" w:rsidR="004370BB" w:rsidRPr="000D24C0" w:rsidRDefault="004370BB" w:rsidP="009077AA">
      <w:pPr>
        <w:spacing w:line="240" w:lineRule="auto"/>
        <w:ind w:left="720" w:hanging="720"/>
      </w:pPr>
      <w:r w:rsidRPr="00E11204">
        <w:rPr>
          <w:lang w:val="it-IT"/>
        </w:rPr>
        <w:t xml:space="preserve">Liu JC, Pereira G, Uhl SA, Bravo MA, &amp; Bell ML. </w:t>
      </w:r>
      <w:r w:rsidRPr="000D24C0">
        <w:t xml:space="preserve">(2015). A systematic review of the physical health impacts from non-occupational exposure to wildfire smoke. </w:t>
      </w:r>
      <w:r w:rsidRPr="000D24C0">
        <w:rPr>
          <w:i/>
          <w:iCs/>
        </w:rPr>
        <w:t>Environmental Research</w:t>
      </w:r>
      <w:r w:rsidRPr="000D24C0">
        <w:t xml:space="preserve">, </w:t>
      </w:r>
      <w:r w:rsidRPr="00C57C6F">
        <w:rPr>
          <w:i/>
          <w:iCs/>
        </w:rPr>
        <w:t>136</w:t>
      </w:r>
      <w:r>
        <w:t xml:space="preserve">, </w:t>
      </w:r>
      <w:r w:rsidRPr="000D24C0">
        <w:t xml:space="preserve">120-32. </w:t>
      </w:r>
      <w:hyperlink r:id="rId13" w:history="1">
        <w:r w:rsidRPr="00D03679">
          <w:rPr>
            <w:rStyle w:val="Hyperlink"/>
          </w:rPr>
          <w:t>https://doi.org/10.1016/j.envres.2014.10.015</w:t>
        </w:r>
      </w:hyperlink>
    </w:p>
    <w:p w14:paraId="3AAC9E76" w14:textId="77777777" w:rsidR="004370BB" w:rsidRPr="000D24C0" w:rsidRDefault="004370BB" w:rsidP="009077AA">
      <w:pPr>
        <w:spacing w:line="240" w:lineRule="auto"/>
        <w:ind w:left="720" w:hanging="720"/>
      </w:pPr>
      <w:r w:rsidRPr="000D24C0">
        <w:t xml:space="preserve">Marlon JR, Bartlein PJ, Gavin DG, Long CJ, Anderson RS, Briles CE, Brown KJ, </w:t>
      </w:r>
      <w:proofErr w:type="spellStart"/>
      <w:r w:rsidRPr="000D24C0">
        <w:t>Colombaroli</w:t>
      </w:r>
      <w:proofErr w:type="spellEnd"/>
      <w:r w:rsidRPr="000D24C0">
        <w:t xml:space="preserve"> D, Hallett DJ, Power MJ, Scharf EA, </w:t>
      </w:r>
      <w:r>
        <w:t xml:space="preserve">&amp; </w:t>
      </w:r>
      <w:r w:rsidRPr="000D24C0">
        <w:t>Walsh MK. (2012). Long-term perspective on wildfires in the western USA</w:t>
      </w:r>
      <w:r w:rsidRPr="000D24C0">
        <w:rPr>
          <w:i/>
          <w:iCs/>
        </w:rPr>
        <w:t>. Proceedings of the National Academy of Sciences, 109</w:t>
      </w:r>
      <w:r w:rsidRPr="00FF605E">
        <w:t xml:space="preserve">(9), </w:t>
      </w:r>
      <w:r w:rsidRPr="000D24C0">
        <w:t xml:space="preserve">E535–E543. </w:t>
      </w:r>
      <w:hyperlink r:id="rId14" w:history="1">
        <w:r w:rsidRPr="00D03679">
          <w:rPr>
            <w:rStyle w:val="Hyperlink"/>
          </w:rPr>
          <w:t>https://doi.org/10.1073/pnas.1112839109</w:t>
        </w:r>
      </w:hyperlink>
    </w:p>
    <w:p w14:paraId="089EB83D" w14:textId="77777777" w:rsidR="004370BB" w:rsidRPr="000D24C0" w:rsidRDefault="004370BB" w:rsidP="009077AA">
      <w:pPr>
        <w:spacing w:line="240" w:lineRule="auto"/>
        <w:ind w:left="720" w:hanging="720"/>
      </w:pPr>
      <w:r w:rsidRPr="000D24C0">
        <w:t xml:space="preserve">Morgan G, Sheppeard V, Khalaj B, Ayyar A, Lincoln D, Jalaludin B, Beard J, Corbett S, </w:t>
      </w:r>
      <w:r>
        <w:t xml:space="preserve">&amp; </w:t>
      </w:r>
      <w:r w:rsidRPr="000D24C0">
        <w:t xml:space="preserve">Lumley T. (2010). Effects of bushfire smoke on daily mortality and hospital admissions in Sydney, Australia. </w:t>
      </w:r>
      <w:r w:rsidRPr="000D24C0">
        <w:rPr>
          <w:i/>
          <w:iCs/>
        </w:rPr>
        <w:t>Epidemiology 21</w:t>
      </w:r>
      <w:r w:rsidRPr="00FF605E">
        <w:t xml:space="preserve">(1), </w:t>
      </w:r>
      <w:r w:rsidRPr="000D24C0">
        <w:t xml:space="preserve">47–55. </w:t>
      </w:r>
      <w:hyperlink r:id="rId15" w:history="1">
        <w:r w:rsidRPr="000D24C0">
          <w:rPr>
            <w:rStyle w:val="Hyperlink"/>
          </w:rPr>
          <w:t>https://doi.org/10.1097/EDE .0b013e3181c15d5a</w:t>
        </w:r>
      </w:hyperlink>
      <w:r w:rsidRPr="000D24C0">
        <w:t>.</w:t>
      </w:r>
    </w:p>
    <w:p w14:paraId="61E8D3D2" w14:textId="77777777" w:rsidR="004370BB" w:rsidRDefault="004370BB" w:rsidP="009077AA">
      <w:pPr>
        <w:spacing w:line="240" w:lineRule="auto"/>
        <w:ind w:left="720" w:hanging="720"/>
      </w:pPr>
      <w:r w:rsidRPr="000D24C0">
        <w:t xml:space="preserve">Oregon State University Extension Service. </w:t>
      </w:r>
      <w:r>
        <w:t>(n.d.)</w:t>
      </w:r>
      <w:r w:rsidRPr="000D24C0">
        <w:t xml:space="preserve">. </w:t>
      </w:r>
      <w:r w:rsidRPr="00FF605E">
        <w:rPr>
          <w:i/>
          <w:iCs/>
        </w:rPr>
        <w:t>Fire</w:t>
      </w:r>
      <w:r>
        <w:t xml:space="preserve">. </w:t>
      </w:r>
      <w:r w:rsidRPr="000D24C0">
        <w:t xml:space="preserve">Available online: </w:t>
      </w:r>
      <w:hyperlink r:id="rId16" w:history="1">
        <w:r w:rsidRPr="00D03679">
          <w:rPr>
            <w:rStyle w:val="Hyperlink"/>
          </w:rPr>
          <w:t>https://extension.oregonstate.edu/forests/fire</w:t>
        </w:r>
      </w:hyperlink>
      <w:r w:rsidRPr="000D24C0">
        <w:t xml:space="preserve"> (accessed on </w:t>
      </w:r>
      <w:r>
        <w:t>3</w:t>
      </w:r>
      <w:r w:rsidRPr="000D24C0">
        <w:t xml:space="preserve"> </w:t>
      </w:r>
      <w:r>
        <w:t>Dec</w:t>
      </w:r>
      <w:r w:rsidRPr="000D24C0">
        <w:t>ember 202</w:t>
      </w:r>
      <w:r>
        <w:t>5</w:t>
      </w:r>
      <w:r w:rsidRPr="000D24C0">
        <w:t>)</w:t>
      </w:r>
    </w:p>
    <w:p w14:paraId="3414AF12" w14:textId="77777777" w:rsidR="004370BB" w:rsidRDefault="004370BB" w:rsidP="009077AA">
      <w:pPr>
        <w:spacing w:line="240" w:lineRule="auto"/>
        <w:ind w:left="720" w:hanging="720"/>
      </w:pPr>
      <w:r w:rsidRPr="000D24C0">
        <w:lastRenderedPageBreak/>
        <w:t xml:space="preserve">Ranches J. </w:t>
      </w:r>
      <w:r>
        <w:t xml:space="preserve">(2020, September). </w:t>
      </w:r>
      <w:r w:rsidRPr="00FF605E">
        <w:rPr>
          <w:i/>
          <w:iCs/>
        </w:rPr>
        <w:t>Animal Exposure to Wildfire Smoke</w:t>
      </w:r>
      <w:r w:rsidRPr="000D24C0">
        <w:t xml:space="preserve">. Available online: </w:t>
      </w:r>
      <w:hyperlink r:id="rId17" w:history="1">
        <w:r w:rsidRPr="00D03679">
          <w:rPr>
            <w:rStyle w:val="Hyperlink"/>
          </w:rPr>
          <w:t>https://extension.oregonstate.edu/catalog/how-protect-pets-livestock-wildfire-smoke</w:t>
        </w:r>
      </w:hyperlink>
      <w:r w:rsidRPr="00CB3012">
        <w:t xml:space="preserve"> </w:t>
      </w:r>
      <w:r w:rsidRPr="000D24C0">
        <w:t xml:space="preserve">(accessed on </w:t>
      </w:r>
      <w:r>
        <w:t xml:space="preserve">3 December </w:t>
      </w:r>
      <w:r w:rsidRPr="000D24C0">
        <w:t>202</w:t>
      </w:r>
      <w:r>
        <w:t>5</w:t>
      </w:r>
      <w:r w:rsidRPr="000D24C0">
        <w:t>)</w:t>
      </w:r>
    </w:p>
    <w:p w14:paraId="6AF7B3CC" w14:textId="77777777" w:rsidR="009077AA" w:rsidRDefault="009077AA" w:rsidP="009077AA">
      <w:pPr>
        <w:spacing w:line="240" w:lineRule="auto"/>
        <w:ind w:left="720" w:hanging="720"/>
      </w:pPr>
      <w:r>
        <w:t>U.</w:t>
      </w:r>
      <w:r w:rsidRPr="000D24C0">
        <w:t xml:space="preserve"> S</w:t>
      </w:r>
      <w:r>
        <w:t>.</w:t>
      </w:r>
      <w:r w:rsidRPr="000D24C0">
        <w:t xml:space="preserve"> Department of Agriculture</w:t>
      </w:r>
      <w:r>
        <w:t>. (2020</w:t>
      </w:r>
      <w:r w:rsidRPr="00DF580C">
        <w:t>).</w:t>
      </w:r>
      <w:r w:rsidRPr="00DF580C">
        <w:rPr>
          <w:i/>
          <w:iCs/>
        </w:rPr>
        <w:t xml:space="preserve"> USDA California Farm Service Agency </w:t>
      </w:r>
      <w:r>
        <w:rPr>
          <w:i/>
          <w:iCs/>
        </w:rPr>
        <w:t>o</w:t>
      </w:r>
      <w:r w:rsidRPr="00DF580C">
        <w:rPr>
          <w:i/>
          <w:iCs/>
        </w:rPr>
        <w:t xml:space="preserve">ffers </w:t>
      </w:r>
      <w:r>
        <w:rPr>
          <w:i/>
          <w:iCs/>
        </w:rPr>
        <w:t>w</w:t>
      </w:r>
      <w:r w:rsidRPr="00DF580C">
        <w:rPr>
          <w:i/>
          <w:iCs/>
        </w:rPr>
        <w:t xml:space="preserve">ildfire </w:t>
      </w:r>
      <w:r>
        <w:rPr>
          <w:i/>
          <w:iCs/>
        </w:rPr>
        <w:t>r</w:t>
      </w:r>
      <w:r w:rsidRPr="00DF580C">
        <w:rPr>
          <w:i/>
          <w:iCs/>
        </w:rPr>
        <w:t>ecovery</w:t>
      </w:r>
      <w:r>
        <w:rPr>
          <w:i/>
          <w:iCs/>
        </w:rPr>
        <w:t xml:space="preserve"> a</w:t>
      </w:r>
      <w:r w:rsidRPr="00DF580C">
        <w:rPr>
          <w:i/>
          <w:iCs/>
        </w:rPr>
        <w:t>ssistance</w:t>
      </w:r>
      <w:r w:rsidRPr="000D24C0">
        <w:t xml:space="preserve">. </w:t>
      </w:r>
      <w:r>
        <w:t>Farm Service Agency</w:t>
      </w:r>
      <w:r w:rsidRPr="000D24C0">
        <w:t xml:space="preserve">. Available online: </w:t>
      </w:r>
      <w:hyperlink r:id="rId18" w:history="1">
        <w:r w:rsidRPr="00D03679">
          <w:rPr>
            <w:rStyle w:val="Hyperlink"/>
          </w:rPr>
          <w:t>https://www.fsa.usda.gov/state-offices/California/news-releases/2020/usda-californiafarm-service-agency-offers-wildfire-recovery-assistance</w:t>
        </w:r>
      </w:hyperlink>
      <w:r w:rsidRPr="000D24C0">
        <w:t xml:space="preserve"> (accessed on </w:t>
      </w:r>
      <w:r>
        <w:t>4 Dec</w:t>
      </w:r>
      <w:r w:rsidRPr="000D24C0">
        <w:t>ember 202</w:t>
      </w:r>
      <w:r>
        <w:t>5</w:t>
      </w:r>
      <w:r w:rsidRPr="000D24C0">
        <w:t>)</w:t>
      </w:r>
    </w:p>
    <w:p w14:paraId="163ECD29" w14:textId="2FE53FD1" w:rsidR="004370BB" w:rsidRPr="000D24C0" w:rsidRDefault="004370BB" w:rsidP="009077AA">
      <w:pPr>
        <w:spacing w:line="240" w:lineRule="auto"/>
        <w:ind w:left="720" w:hanging="720"/>
      </w:pPr>
      <w:r w:rsidRPr="000D24C0">
        <w:t xml:space="preserve">U.S. Department of Agriculture. (2024). </w:t>
      </w:r>
      <w:r w:rsidRPr="000D24C0">
        <w:rPr>
          <w:i/>
          <w:iCs/>
        </w:rPr>
        <w:t>Dairy</w:t>
      </w:r>
      <w:r w:rsidRPr="000D24C0">
        <w:t xml:space="preserve">. USDA Economic Research Service. </w:t>
      </w:r>
      <w:hyperlink r:id="rId19" w:history="1">
        <w:r w:rsidRPr="000D24C0">
          <w:rPr>
            <w:rStyle w:val="Hyperlink"/>
          </w:rPr>
          <w:t>https://www.ers.usda.gov/topics/animal-products/dairy</w:t>
        </w:r>
      </w:hyperlink>
      <w:r w:rsidRPr="000D24C0">
        <w:t xml:space="preserve"> </w:t>
      </w:r>
    </w:p>
    <w:p w14:paraId="20EC4326" w14:textId="77777777" w:rsidR="009077AA" w:rsidRDefault="009077AA" w:rsidP="009077AA">
      <w:pPr>
        <w:spacing w:line="240" w:lineRule="auto"/>
        <w:ind w:left="720" w:hanging="720"/>
      </w:pPr>
      <w:r>
        <w:t xml:space="preserve">U.S. </w:t>
      </w:r>
      <w:r w:rsidRPr="000D24C0">
        <w:t>Environmental Protection Agency.</w:t>
      </w:r>
      <w:r>
        <w:t xml:space="preserve"> (2021).</w:t>
      </w:r>
      <w:r w:rsidRPr="000D24C0">
        <w:t xml:space="preserve"> </w:t>
      </w:r>
      <w:r w:rsidRPr="00DF580C">
        <w:rPr>
          <w:i/>
          <w:iCs/>
        </w:rPr>
        <w:t xml:space="preserve">Wildfire </w:t>
      </w:r>
      <w:r>
        <w:rPr>
          <w:i/>
          <w:iCs/>
        </w:rPr>
        <w:t>s</w:t>
      </w:r>
      <w:r w:rsidRPr="00DF580C">
        <w:rPr>
          <w:i/>
          <w:iCs/>
        </w:rPr>
        <w:t xml:space="preserve">moke </w:t>
      </w:r>
      <w:r>
        <w:rPr>
          <w:i/>
          <w:iCs/>
        </w:rPr>
        <w:t>f</w:t>
      </w:r>
      <w:r w:rsidRPr="00DF580C">
        <w:rPr>
          <w:i/>
          <w:iCs/>
        </w:rPr>
        <w:t xml:space="preserve">actsheet: Protect </w:t>
      </w:r>
      <w:r>
        <w:rPr>
          <w:i/>
          <w:iCs/>
        </w:rPr>
        <w:t>y</w:t>
      </w:r>
      <w:r w:rsidRPr="00DF580C">
        <w:rPr>
          <w:i/>
          <w:iCs/>
        </w:rPr>
        <w:t xml:space="preserve">our </w:t>
      </w:r>
      <w:r>
        <w:rPr>
          <w:i/>
          <w:iCs/>
        </w:rPr>
        <w:t>l</w:t>
      </w:r>
      <w:r w:rsidRPr="00DF580C">
        <w:rPr>
          <w:i/>
          <w:iCs/>
        </w:rPr>
        <w:t xml:space="preserve">arge </w:t>
      </w:r>
      <w:r>
        <w:rPr>
          <w:i/>
          <w:iCs/>
        </w:rPr>
        <w:t>a</w:t>
      </w:r>
      <w:r w:rsidRPr="00DF580C">
        <w:rPr>
          <w:i/>
          <w:iCs/>
        </w:rPr>
        <w:t>nimals and</w:t>
      </w:r>
      <w:r>
        <w:rPr>
          <w:i/>
          <w:iCs/>
        </w:rPr>
        <w:t xml:space="preserve"> l</w:t>
      </w:r>
      <w:r w:rsidRPr="00DF580C">
        <w:rPr>
          <w:i/>
          <w:iCs/>
        </w:rPr>
        <w:t xml:space="preserve">ivestock from </w:t>
      </w:r>
      <w:r>
        <w:rPr>
          <w:i/>
          <w:iCs/>
        </w:rPr>
        <w:t>w</w:t>
      </w:r>
      <w:r w:rsidRPr="00DF580C">
        <w:rPr>
          <w:i/>
          <w:iCs/>
        </w:rPr>
        <w:t xml:space="preserve">ildfire </w:t>
      </w:r>
      <w:r>
        <w:rPr>
          <w:i/>
          <w:iCs/>
        </w:rPr>
        <w:t>s</w:t>
      </w:r>
      <w:r w:rsidRPr="00DF580C">
        <w:rPr>
          <w:i/>
          <w:iCs/>
        </w:rPr>
        <w:t>moke</w:t>
      </w:r>
      <w:r w:rsidRPr="000D24C0">
        <w:t xml:space="preserve">. Available online: </w:t>
      </w:r>
      <w:hyperlink r:id="rId20" w:history="1">
        <w:r w:rsidRPr="00D03679">
          <w:rPr>
            <w:rStyle w:val="Hyperlink"/>
          </w:rPr>
          <w:t>https://www.airnow.gov/sites/default/files/2021-06/protect-your-large-animals-and-livestock-from-wildfire-smoke.pdf</w:t>
        </w:r>
      </w:hyperlink>
      <w:r>
        <w:t xml:space="preserve"> </w:t>
      </w:r>
      <w:r w:rsidRPr="000D24C0">
        <w:t xml:space="preserve">(accessed on </w:t>
      </w:r>
      <w:r>
        <w:t>3</w:t>
      </w:r>
      <w:r w:rsidRPr="000D24C0">
        <w:t xml:space="preserve"> </w:t>
      </w:r>
      <w:r>
        <w:t>Decem</w:t>
      </w:r>
      <w:r w:rsidRPr="000D24C0">
        <w:t>ber 202</w:t>
      </w:r>
      <w:r>
        <w:t>5)</w:t>
      </w:r>
    </w:p>
    <w:p w14:paraId="39A779AD" w14:textId="77777777" w:rsidR="004370BB" w:rsidRPr="000D24C0" w:rsidRDefault="004370BB" w:rsidP="009077AA">
      <w:pPr>
        <w:spacing w:line="240" w:lineRule="auto"/>
        <w:ind w:left="720" w:hanging="720"/>
      </w:pPr>
      <w:r w:rsidRPr="000D24C0">
        <w:t xml:space="preserve">Veit HP, </w:t>
      </w:r>
      <w:r>
        <w:t xml:space="preserve">&amp; </w:t>
      </w:r>
      <w:r w:rsidRPr="000D24C0">
        <w:t xml:space="preserve">Farrell RL. (1978). The anatomy and physiology of the bovine respiratory system relating to pulmonary disease. </w:t>
      </w:r>
      <w:r w:rsidRPr="00E273CA">
        <w:rPr>
          <w:i/>
          <w:iCs/>
        </w:rPr>
        <w:t xml:space="preserve">The </w:t>
      </w:r>
      <w:r w:rsidRPr="000D24C0">
        <w:rPr>
          <w:i/>
          <w:iCs/>
        </w:rPr>
        <w:t>Cornell Veterinarian</w:t>
      </w:r>
      <w:r w:rsidRPr="000D24C0">
        <w:t>,</w:t>
      </w:r>
      <w:r w:rsidRPr="00DF580C">
        <w:rPr>
          <w:i/>
          <w:iCs/>
        </w:rPr>
        <w:t xml:space="preserve"> 68</w:t>
      </w:r>
      <w:r w:rsidRPr="000D24C0">
        <w:t>(4)</w:t>
      </w:r>
      <w:r>
        <w:t xml:space="preserve">, </w:t>
      </w:r>
      <w:r w:rsidRPr="000D24C0">
        <w:t>555-81. PMID: 361341.</w:t>
      </w:r>
    </w:p>
    <w:p w14:paraId="6540BB88" w14:textId="77777777" w:rsidR="004370BB" w:rsidRDefault="004370BB" w:rsidP="009077AA">
      <w:pPr>
        <w:spacing w:line="240" w:lineRule="auto"/>
        <w:ind w:left="720" w:hanging="720"/>
      </w:pPr>
      <w:r w:rsidRPr="000D24C0">
        <w:t xml:space="preserve">Westerling AL. (2016). Increasing western US forest wildfire activity: sensitivity to changes in the timing of spring. </w:t>
      </w:r>
      <w:r w:rsidRPr="000D24C0">
        <w:rPr>
          <w:i/>
          <w:iCs/>
        </w:rPr>
        <w:t>Philosophical Transactions of the Royal Society B: Biological Sciences</w:t>
      </w:r>
      <w:r w:rsidRPr="000D24C0">
        <w:t xml:space="preserve">, </w:t>
      </w:r>
      <w:r w:rsidRPr="00EF7AD6">
        <w:rPr>
          <w:i/>
          <w:iCs/>
        </w:rPr>
        <w:t>371</w:t>
      </w:r>
      <w:r w:rsidRPr="000D24C0">
        <w:t xml:space="preserve">(1696), </w:t>
      </w:r>
      <w:r w:rsidRPr="00EF7AD6">
        <w:t>20150178</w:t>
      </w:r>
      <w:r>
        <w:t>.</w:t>
      </w:r>
      <w:r w:rsidRPr="000D24C0">
        <w:t xml:space="preserve"> </w:t>
      </w:r>
      <w:hyperlink r:id="rId21" w:history="1">
        <w:r w:rsidRPr="00D03679">
          <w:rPr>
            <w:rStyle w:val="Hyperlink"/>
          </w:rPr>
          <w:t>https://doi.org/10.1098/rstb.2015.0178</w:t>
        </w:r>
      </w:hyperlink>
      <w:r>
        <w:t xml:space="preserve"> </w:t>
      </w:r>
    </w:p>
    <w:p w14:paraId="29F3686E" w14:textId="77777777" w:rsidR="004370BB" w:rsidRPr="000D24C0" w:rsidRDefault="004370BB" w:rsidP="009077AA">
      <w:pPr>
        <w:spacing w:line="240" w:lineRule="auto"/>
        <w:ind w:left="720" w:hanging="720"/>
      </w:pPr>
      <w:r w:rsidRPr="000D24C0">
        <w:t xml:space="preserve">Westerling AL, Hidalgo HG, Cayan DR, </w:t>
      </w:r>
      <w:r>
        <w:t xml:space="preserve">&amp; </w:t>
      </w:r>
      <w:r w:rsidRPr="000D24C0">
        <w:t xml:space="preserve">Swetnam TW. (2006). Warming and earlier spring increase western US forest wildfire activity. </w:t>
      </w:r>
      <w:r w:rsidRPr="000D24C0">
        <w:rPr>
          <w:i/>
          <w:iCs/>
        </w:rPr>
        <w:t>Science, 313</w:t>
      </w:r>
      <w:r w:rsidRPr="00EF7AD6">
        <w:t>(5789)</w:t>
      </w:r>
      <w:r>
        <w:rPr>
          <w:i/>
          <w:iCs/>
        </w:rPr>
        <w:t xml:space="preserve">, </w:t>
      </w:r>
      <w:r w:rsidRPr="000D24C0">
        <w:t xml:space="preserve">940–943. </w:t>
      </w:r>
      <w:hyperlink r:id="rId22" w:history="1">
        <w:r w:rsidRPr="00D03679">
          <w:rPr>
            <w:rStyle w:val="Hyperlink"/>
          </w:rPr>
          <w:t>https://doi.org/10.1126/science.1128834</w:t>
        </w:r>
      </w:hyperlink>
      <w:r>
        <w:t xml:space="preserve"> </w:t>
      </w:r>
    </w:p>
    <w:p w14:paraId="0007F14B" w14:textId="77777777" w:rsidR="004370BB" w:rsidRPr="004370BB" w:rsidRDefault="004370BB" w:rsidP="009B1711">
      <w:pPr>
        <w:spacing w:line="480" w:lineRule="auto"/>
      </w:pPr>
    </w:p>
    <w:p w14:paraId="6F4AC413" w14:textId="5AEEC05B" w:rsidR="008D43DD" w:rsidRPr="008D43DD" w:rsidRDefault="008D43DD" w:rsidP="009B1711">
      <w:pPr>
        <w:spacing w:line="480" w:lineRule="auto"/>
      </w:pPr>
    </w:p>
    <w:sectPr w:rsidR="008D43DD" w:rsidRPr="008D4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A064" w14:textId="77777777" w:rsidR="007577D3" w:rsidRDefault="007577D3" w:rsidP="004370BB">
      <w:pPr>
        <w:spacing w:after="0" w:line="240" w:lineRule="auto"/>
      </w:pPr>
      <w:r>
        <w:separator/>
      </w:r>
    </w:p>
  </w:endnote>
  <w:endnote w:type="continuationSeparator" w:id="0">
    <w:p w14:paraId="19A57CDC" w14:textId="77777777" w:rsidR="007577D3" w:rsidRDefault="007577D3" w:rsidP="0043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C072" w14:textId="77777777" w:rsidR="007577D3" w:rsidRDefault="007577D3" w:rsidP="004370BB">
      <w:pPr>
        <w:spacing w:after="0" w:line="240" w:lineRule="auto"/>
      </w:pPr>
      <w:r>
        <w:separator/>
      </w:r>
    </w:p>
  </w:footnote>
  <w:footnote w:type="continuationSeparator" w:id="0">
    <w:p w14:paraId="568554FB" w14:textId="77777777" w:rsidR="007577D3" w:rsidRDefault="007577D3" w:rsidP="004370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79"/>
    <w:rsid w:val="000A19B4"/>
    <w:rsid w:val="001C2546"/>
    <w:rsid w:val="001E456B"/>
    <w:rsid w:val="0028137A"/>
    <w:rsid w:val="00307852"/>
    <w:rsid w:val="003E013F"/>
    <w:rsid w:val="004370BB"/>
    <w:rsid w:val="00654379"/>
    <w:rsid w:val="0066178E"/>
    <w:rsid w:val="007577D3"/>
    <w:rsid w:val="008942B1"/>
    <w:rsid w:val="008C12D8"/>
    <w:rsid w:val="008D43DD"/>
    <w:rsid w:val="009077AA"/>
    <w:rsid w:val="009B1711"/>
    <w:rsid w:val="00A346D4"/>
    <w:rsid w:val="00C249B5"/>
    <w:rsid w:val="00ED632B"/>
    <w:rsid w:val="00F3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58D3"/>
  <w15:chartTrackingRefBased/>
  <w15:docId w15:val="{7152A7FD-00C9-42AB-8CC8-70DAE47E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11"/>
  </w:style>
  <w:style w:type="paragraph" w:styleId="Heading1">
    <w:name w:val="heading 1"/>
    <w:basedOn w:val="Normal"/>
    <w:next w:val="Normal"/>
    <w:link w:val="Heading1Char"/>
    <w:uiPriority w:val="9"/>
    <w:qFormat/>
    <w:rsid w:val="00654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379"/>
    <w:rPr>
      <w:rFonts w:eastAsiaTheme="majorEastAsia" w:cstheme="majorBidi"/>
      <w:color w:val="272727" w:themeColor="text1" w:themeTint="D8"/>
    </w:rPr>
  </w:style>
  <w:style w:type="paragraph" w:styleId="Title">
    <w:name w:val="Title"/>
    <w:basedOn w:val="Normal"/>
    <w:next w:val="Normal"/>
    <w:link w:val="TitleChar"/>
    <w:uiPriority w:val="10"/>
    <w:qFormat/>
    <w:rsid w:val="00654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379"/>
    <w:pPr>
      <w:spacing w:before="160"/>
      <w:jc w:val="center"/>
    </w:pPr>
    <w:rPr>
      <w:i/>
      <w:iCs/>
      <w:color w:val="404040" w:themeColor="text1" w:themeTint="BF"/>
    </w:rPr>
  </w:style>
  <w:style w:type="character" w:customStyle="1" w:styleId="QuoteChar">
    <w:name w:val="Quote Char"/>
    <w:basedOn w:val="DefaultParagraphFont"/>
    <w:link w:val="Quote"/>
    <w:uiPriority w:val="29"/>
    <w:rsid w:val="00654379"/>
    <w:rPr>
      <w:i/>
      <w:iCs/>
      <w:color w:val="404040" w:themeColor="text1" w:themeTint="BF"/>
    </w:rPr>
  </w:style>
  <w:style w:type="paragraph" w:styleId="ListParagraph">
    <w:name w:val="List Paragraph"/>
    <w:basedOn w:val="Normal"/>
    <w:uiPriority w:val="34"/>
    <w:qFormat/>
    <w:rsid w:val="00654379"/>
    <w:pPr>
      <w:ind w:left="720"/>
      <w:contextualSpacing/>
    </w:pPr>
  </w:style>
  <w:style w:type="character" w:styleId="IntenseEmphasis">
    <w:name w:val="Intense Emphasis"/>
    <w:basedOn w:val="DefaultParagraphFont"/>
    <w:uiPriority w:val="21"/>
    <w:qFormat/>
    <w:rsid w:val="00654379"/>
    <w:rPr>
      <w:i/>
      <w:iCs/>
      <w:color w:val="2F5496" w:themeColor="accent1" w:themeShade="BF"/>
    </w:rPr>
  </w:style>
  <w:style w:type="paragraph" w:styleId="IntenseQuote">
    <w:name w:val="Intense Quote"/>
    <w:basedOn w:val="Normal"/>
    <w:next w:val="Normal"/>
    <w:link w:val="IntenseQuoteChar"/>
    <w:uiPriority w:val="30"/>
    <w:qFormat/>
    <w:rsid w:val="00654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379"/>
    <w:rPr>
      <w:i/>
      <w:iCs/>
      <w:color w:val="2F5496" w:themeColor="accent1" w:themeShade="BF"/>
    </w:rPr>
  </w:style>
  <w:style w:type="character" w:styleId="IntenseReference">
    <w:name w:val="Intense Reference"/>
    <w:basedOn w:val="DefaultParagraphFont"/>
    <w:uiPriority w:val="32"/>
    <w:qFormat/>
    <w:rsid w:val="00654379"/>
    <w:rPr>
      <w:b/>
      <w:bCs/>
      <w:smallCaps/>
      <w:color w:val="2F5496" w:themeColor="accent1" w:themeShade="BF"/>
      <w:spacing w:val="5"/>
    </w:rPr>
  </w:style>
  <w:style w:type="character" w:styleId="Hyperlink">
    <w:name w:val="Hyperlink"/>
    <w:basedOn w:val="DefaultParagraphFont"/>
    <w:uiPriority w:val="99"/>
    <w:unhideWhenUsed/>
    <w:rsid w:val="004370BB"/>
    <w:rPr>
      <w:color w:val="0563C1" w:themeColor="hyperlink"/>
      <w:u w:val="single"/>
    </w:rPr>
  </w:style>
  <w:style w:type="paragraph" w:styleId="Header">
    <w:name w:val="header"/>
    <w:basedOn w:val="Normal"/>
    <w:link w:val="HeaderChar"/>
    <w:uiPriority w:val="99"/>
    <w:unhideWhenUsed/>
    <w:rsid w:val="0043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BB"/>
  </w:style>
  <w:style w:type="paragraph" w:styleId="Footer">
    <w:name w:val="footer"/>
    <w:basedOn w:val="Normal"/>
    <w:link w:val="FooterChar"/>
    <w:uiPriority w:val="99"/>
    <w:unhideWhenUsed/>
    <w:rsid w:val="0043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3109/08958378.2011.650235" TargetMode="External"/><Relationship Id="rId13" Type="http://schemas.openxmlformats.org/officeDocument/2006/relationships/hyperlink" Target="https://doi.org/10.1016/j.envres.2014.10.015" TargetMode="External"/><Relationship Id="rId18" Type="http://schemas.openxmlformats.org/officeDocument/2006/relationships/hyperlink" Target="https://www.fsa.usda.gov/state-offices/California/news-releases/2020/usda-californiafarm-service-agency-offers-wildfire-recovery-assistance" TargetMode="External"/><Relationship Id="rId3" Type="http://schemas.openxmlformats.org/officeDocument/2006/relationships/webSettings" Target="webSettings.xml"/><Relationship Id="rId21" Type="http://schemas.openxmlformats.org/officeDocument/2006/relationships/hyperlink" Target="https://doi.org/10.1098/rstb.2015.0178" TargetMode="External"/><Relationship Id="rId7" Type="http://schemas.openxmlformats.org/officeDocument/2006/relationships/chart" Target="charts/chart2.xml"/><Relationship Id="rId12" Type="http://schemas.openxmlformats.org/officeDocument/2006/relationships/hyperlink" Target="https://doi.org/10.1186/s42408-019-0062-8" TargetMode="External"/><Relationship Id="rId17" Type="http://schemas.openxmlformats.org/officeDocument/2006/relationships/hyperlink" Target="https://extension.oregonstate.edu/catalog/how-protect-pets-livestock-wildfire-smoke" TargetMode="External"/><Relationship Id="rId2" Type="http://schemas.openxmlformats.org/officeDocument/2006/relationships/settings" Target="settings.xml"/><Relationship Id="rId16" Type="http://schemas.openxmlformats.org/officeDocument/2006/relationships/hyperlink" Target="https://extension.oregonstate.edu/forests/fire" TargetMode="External"/><Relationship Id="rId20" Type="http://schemas.openxmlformats.org/officeDocument/2006/relationships/hyperlink" Target="https://www.airnow.gov/sites/default/files/2021-06/protect-your-large-animals-and-livestock-from-wildfire-smoke.pdf"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007/s11027-005-9020-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97/EDE%20.0b013e3181c15d5a" TargetMode="External"/><Relationship Id="rId23" Type="http://schemas.openxmlformats.org/officeDocument/2006/relationships/fontTable" Target="fontTable.xml"/><Relationship Id="rId10" Type="http://schemas.openxmlformats.org/officeDocument/2006/relationships/hyperlink" Target="https://doi.org/10.1186/s12958-018-0433-z" TargetMode="External"/><Relationship Id="rId19" Type="http://schemas.openxmlformats.org/officeDocument/2006/relationships/hyperlink" Target="https://www.ers.usda.gov/topics/animal-products/dairy" TargetMode="External"/><Relationship Id="rId4" Type="http://schemas.openxmlformats.org/officeDocument/2006/relationships/footnotes" Target="footnotes.xml"/><Relationship Id="rId9" Type="http://schemas.openxmlformats.org/officeDocument/2006/relationships/hyperlink" Target="https://doi.org/10.3168/jds.2020-19941" TargetMode="External"/><Relationship Id="rId14" Type="http://schemas.openxmlformats.org/officeDocument/2006/relationships/hyperlink" Target="https://doi.org/10.1073/pnas.1112839109" TargetMode="External"/><Relationship Id="rId22" Type="http://schemas.openxmlformats.org/officeDocument/2006/relationships/hyperlink" Target="https://doi.org/10.1126/science.11288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oregonstateuniversity-my.sharepoint.com/personal/lepianes_oregonstate_edu/Documents/Internship%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oregonstateuniversity-my.sharepoint.com/personal/lepianes_oregonstate_edu/Documents/Internship%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Average CalfScan Scores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lineMarker"/>
        <c:varyColors val="0"/>
        <c:ser>
          <c:idx val="0"/>
          <c:order val="0"/>
          <c:tx>
            <c:v>EXP</c:v>
          </c:tx>
          <c:spPr>
            <a:ln w="25400" cap="rnd">
              <a:gradFill>
                <a:gsLst>
                  <a:gs pos="0">
                    <a:schemeClr val="accent1"/>
                  </a:gs>
                  <a:gs pos="100000">
                    <a:schemeClr val="accent1">
                      <a:lumMod val="24000"/>
                      <a:lumOff val="76000"/>
                    </a:schemeClr>
                  </a:gs>
                  <a:gs pos="100000">
                    <a:schemeClr val="accent1">
                      <a:lumMod val="45000"/>
                      <a:lumOff val="55000"/>
                    </a:schemeClr>
                  </a:gs>
                  <a:gs pos="100000">
                    <a:schemeClr val="accent1">
                      <a:lumMod val="30000"/>
                      <a:lumOff val="70000"/>
                    </a:schemeClr>
                  </a:gs>
                </a:gsLst>
                <a:lin ang="5400000" scaled="1"/>
              </a:gradFill>
              <a:round/>
            </a:ln>
            <a:effectLst/>
          </c:spPr>
          <c:marker>
            <c:symbol val="circle"/>
            <c:size val="5"/>
            <c:spPr>
              <a:solidFill>
                <a:schemeClr val="accent1"/>
              </a:solidFill>
              <a:ln w="9525">
                <a:solidFill>
                  <a:schemeClr val="accent1"/>
                </a:solidFill>
              </a:ln>
              <a:effectLst/>
            </c:spPr>
          </c:marker>
          <c:xVal>
            <c:numRef>
              <c:f>'Thoracic Ultrasound'!$C$3:$S$3</c:f>
              <c:numCache>
                <c:formatCode>General</c:formatCode>
                <c:ptCount val="17"/>
                <c:pt idx="0">
                  <c:v>19.5</c:v>
                </c:pt>
                <c:pt idx="1">
                  <c:v>39.5</c:v>
                </c:pt>
                <c:pt idx="2">
                  <c:v>53.5</c:v>
                </c:pt>
                <c:pt idx="3">
                  <c:v>70.5</c:v>
                </c:pt>
                <c:pt idx="4">
                  <c:v>83.5</c:v>
                </c:pt>
                <c:pt idx="5">
                  <c:v>103.5</c:v>
                </c:pt>
                <c:pt idx="6">
                  <c:v>116.5</c:v>
                </c:pt>
                <c:pt idx="7">
                  <c:v>131.5</c:v>
                </c:pt>
                <c:pt idx="8">
                  <c:v>144.5</c:v>
                </c:pt>
                <c:pt idx="9">
                  <c:v>161.5</c:v>
                </c:pt>
                <c:pt idx="10">
                  <c:v>179.5</c:v>
                </c:pt>
                <c:pt idx="11">
                  <c:v>217.5</c:v>
                </c:pt>
                <c:pt idx="12">
                  <c:v>241.5</c:v>
                </c:pt>
                <c:pt idx="13">
                  <c:v>270.5</c:v>
                </c:pt>
                <c:pt idx="14">
                  <c:v>298.5</c:v>
                </c:pt>
                <c:pt idx="15">
                  <c:v>330.5</c:v>
                </c:pt>
                <c:pt idx="16">
                  <c:v>360.5</c:v>
                </c:pt>
              </c:numCache>
            </c:numRef>
          </c:xVal>
          <c:yVal>
            <c:numRef>
              <c:f>'Thoracic Ultrasound'!$C$45:$S$45</c:f>
              <c:numCache>
                <c:formatCode>0.0</c:formatCode>
                <c:ptCount val="17"/>
                <c:pt idx="0">
                  <c:v>0.25</c:v>
                </c:pt>
                <c:pt idx="1">
                  <c:v>0.35</c:v>
                </c:pt>
                <c:pt idx="2">
                  <c:v>0.63157894736842102</c:v>
                </c:pt>
                <c:pt idx="3">
                  <c:v>0.9</c:v>
                </c:pt>
                <c:pt idx="4">
                  <c:v>1.65</c:v>
                </c:pt>
                <c:pt idx="5">
                  <c:v>0.9</c:v>
                </c:pt>
                <c:pt idx="6">
                  <c:v>0.8</c:v>
                </c:pt>
                <c:pt idx="7">
                  <c:v>0.57894736842105265</c:v>
                </c:pt>
                <c:pt idx="8">
                  <c:v>0.18181818181818182</c:v>
                </c:pt>
                <c:pt idx="9">
                  <c:v>0.5</c:v>
                </c:pt>
                <c:pt idx="10">
                  <c:v>0.25</c:v>
                </c:pt>
                <c:pt idx="11">
                  <c:v>0.33333333333333331</c:v>
                </c:pt>
                <c:pt idx="12">
                  <c:v>0.16666666666666666</c:v>
                </c:pt>
                <c:pt idx="13">
                  <c:v>9.0909090909090912E-2</c:v>
                </c:pt>
                <c:pt idx="14">
                  <c:v>0.18181818181818182</c:v>
                </c:pt>
                <c:pt idx="15">
                  <c:v>0.36363636363636365</c:v>
                </c:pt>
                <c:pt idx="16">
                  <c:v>0.2</c:v>
                </c:pt>
              </c:numCache>
            </c:numRef>
          </c:yVal>
          <c:smooth val="0"/>
          <c:extLst>
            <c:ext xmlns:c16="http://schemas.microsoft.com/office/drawing/2014/chart" uri="{C3380CC4-5D6E-409C-BE32-E72D297353CC}">
              <c16:uniqueId val="{00000000-F710-428D-BB7F-7908F5089DB5}"/>
            </c:ext>
          </c:extLst>
        </c:ser>
        <c:ser>
          <c:idx val="1"/>
          <c:order val="1"/>
          <c:tx>
            <c:v>CON</c:v>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('Thoracic Ultrasound'!$W$3:$AB$3,'Thoracic Ultrasound'!$AC$3:$AM$3)</c:f>
              <c:numCache>
                <c:formatCode>0.0</c:formatCode>
                <c:ptCount val="17"/>
                <c:pt idx="0">
                  <c:v>27.166666666666668</c:v>
                </c:pt>
                <c:pt idx="1">
                  <c:v>49.166666666666664</c:v>
                </c:pt>
                <c:pt idx="2">
                  <c:v>56.166666666666664</c:v>
                </c:pt>
                <c:pt idx="3">
                  <c:v>70.166666666666671</c:v>
                </c:pt>
                <c:pt idx="4">
                  <c:v>82.166666666666671</c:v>
                </c:pt>
                <c:pt idx="5">
                  <c:v>97.166666666666671</c:v>
                </c:pt>
                <c:pt idx="6">
                  <c:v>112.16666666666667</c:v>
                </c:pt>
                <c:pt idx="7">
                  <c:v>125.16666666666667</c:v>
                </c:pt>
                <c:pt idx="8">
                  <c:v>140.16666666666666</c:v>
                </c:pt>
                <c:pt idx="9">
                  <c:v>153.16666666666666</c:v>
                </c:pt>
                <c:pt idx="10">
                  <c:v>182.16666666666666</c:v>
                </c:pt>
                <c:pt idx="11">
                  <c:v>216.16666666666666</c:v>
                </c:pt>
                <c:pt idx="12">
                  <c:v>243.16666666666666</c:v>
                </c:pt>
                <c:pt idx="13">
                  <c:v>281.05882352941177</c:v>
                </c:pt>
                <c:pt idx="14">
                  <c:v>299.05882352941177</c:v>
                </c:pt>
                <c:pt idx="15">
                  <c:v>327.05882352941177</c:v>
                </c:pt>
                <c:pt idx="16">
                  <c:v>361.05882352941177</c:v>
                </c:pt>
              </c:numCache>
            </c:numRef>
          </c:xVal>
          <c:yVal>
            <c:numRef>
              <c:f>'Thoracic Ultrasound'!$W$45:$AM$45</c:f>
              <c:numCache>
                <c:formatCode>0.0</c:formatCode>
                <c:ptCount val="17"/>
                <c:pt idx="0">
                  <c:v>0.16666666666666666</c:v>
                </c:pt>
                <c:pt idx="1">
                  <c:v>0.5</c:v>
                </c:pt>
                <c:pt idx="2">
                  <c:v>0.61111111111111116</c:v>
                </c:pt>
                <c:pt idx="3">
                  <c:v>0.5</c:v>
                </c:pt>
                <c:pt idx="4">
                  <c:v>0.33333333333333331</c:v>
                </c:pt>
                <c:pt idx="5">
                  <c:v>1.1111111111111112</c:v>
                </c:pt>
                <c:pt idx="6">
                  <c:v>0.88888888888888884</c:v>
                </c:pt>
                <c:pt idx="7">
                  <c:v>0.61111111111111116</c:v>
                </c:pt>
                <c:pt idx="8">
                  <c:v>1</c:v>
                </c:pt>
                <c:pt idx="9">
                  <c:v>0.33333333333333331</c:v>
                </c:pt>
                <c:pt idx="10">
                  <c:v>0.44444444444444442</c:v>
                </c:pt>
                <c:pt idx="11">
                  <c:v>0.33333333333333331</c:v>
                </c:pt>
                <c:pt idx="12">
                  <c:v>0.3888888888888889</c:v>
                </c:pt>
                <c:pt idx="13">
                  <c:v>0.35294117647058826</c:v>
                </c:pt>
                <c:pt idx="14">
                  <c:v>0.23529411764705882</c:v>
                </c:pt>
                <c:pt idx="15">
                  <c:v>0.25</c:v>
                </c:pt>
                <c:pt idx="16">
                  <c:v>0.17647058823529413</c:v>
                </c:pt>
              </c:numCache>
            </c:numRef>
          </c:yVal>
          <c:smooth val="0"/>
          <c:extLst>
            <c:ext xmlns:c16="http://schemas.microsoft.com/office/drawing/2014/chart" uri="{C3380CC4-5D6E-409C-BE32-E72D297353CC}">
              <c16:uniqueId val="{00000001-F710-428D-BB7F-7908F5089DB5}"/>
            </c:ext>
          </c:extLst>
        </c:ser>
        <c:dLbls>
          <c:showLegendKey val="0"/>
          <c:showVal val="0"/>
          <c:showCatName val="0"/>
          <c:showSerName val="0"/>
          <c:showPercent val="0"/>
          <c:showBubbleSize val="0"/>
        </c:dLbls>
        <c:axId val="1888740367"/>
        <c:axId val="1888739407"/>
      </c:scatterChart>
      <c:valAx>
        <c:axId val="1888740367"/>
        <c:scaling>
          <c:orientation val="minMax"/>
          <c:max val="365"/>
          <c:min val="0"/>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Average age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in"/>
        <c:minorTickMark val="in"/>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88739407"/>
        <c:crosses val="autoZero"/>
        <c:crossBetween val="midCat"/>
        <c:majorUnit val="62"/>
        <c:minorUnit val="31"/>
      </c:valAx>
      <c:valAx>
        <c:axId val="1888739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Average TUS 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88740367"/>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0"/>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Average Weights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tx>
            <c:v>EXP</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3642096821230677E-2"/>
                  <c:y val="0.2514077203764163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solidFill>
                          <a:schemeClr val="accent1"/>
                        </a:solidFill>
                      </a:rPr>
                      <a:t>y = 0.7939x + 45.25</a:t>
                    </a:r>
                    <a:br>
                      <a:rPr lang="en-US" baseline="0">
                        <a:solidFill>
                          <a:schemeClr val="accent1"/>
                        </a:solidFill>
                      </a:rPr>
                    </a:br>
                    <a:r>
                      <a:rPr lang="en-US" baseline="0">
                        <a:solidFill>
                          <a:schemeClr val="accent1"/>
                        </a:solidFill>
                      </a:rPr>
                      <a:t>R² = 0.9803</a:t>
                    </a:r>
                    <a:endParaRPr lang="en-US">
                      <a:solidFill>
                        <a:schemeClr val="accent1"/>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'Growth Metrics_Weight (kg)'!$B$3:$Q$3</c:f>
              <c:numCache>
                <c:formatCode>General</c:formatCode>
                <c:ptCount val="16"/>
                <c:pt idx="0">
                  <c:v>19.5</c:v>
                </c:pt>
                <c:pt idx="1">
                  <c:v>61.5</c:v>
                </c:pt>
                <c:pt idx="2">
                  <c:v>70.5</c:v>
                </c:pt>
                <c:pt idx="3">
                  <c:v>83.5</c:v>
                </c:pt>
                <c:pt idx="4">
                  <c:v>103.5</c:v>
                </c:pt>
                <c:pt idx="5">
                  <c:v>116.5</c:v>
                </c:pt>
                <c:pt idx="6">
                  <c:v>131.5</c:v>
                </c:pt>
                <c:pt idx="7">
                  <c:v>144.5</c:v>
                </c:pt>
                <c:pt idx="8">
                  <c:v>161.5</c:v>
                </c:pt>
                <c:pt idx="9">
                  <c:v>179.5</c:v>
                </c:pt>
                <c:pt idx="10">
                  <c:v>217.5</c:v>
                </c:pt>
                <c:pt idx="11">
                  <c:v>241.5</c:v>
                </c:pt>
                <c:pt idx="12">
                  <c:v>270.5</c:v>
                </c:pt>
                <c:pt idx="13">
                  <c:v>298.5</c:v>
                </c:pt>
                <c:pt idx="14">
                  <c:v>330.5</c:v>
                </c:pt>
                <c:pt idx="15">
                  <c:v>360.5</c:v>
                </c:pt>
              </c:numCache>
            </c:numRef>
          </c:xVal>
          <c:yVal>
            <c:numRef>
              <c:f>'Growth Metrics_Weight (kg)'!$B$26:$Q$26</c:f>
              <c:numCache>
                <c:formatCode>0.0</c:formatCode>
                <c:ptCount val="16"/>
                <c:pt idx="0">
                  <c:v>46.166666666666664</c:v>
                </c:pt>
                <c:pt idx="1">
                  <c:v>80.611111111111114</c:v>
                </c:pt>
                <c:pt idx="2">
                  <c:v>92.861111111111114</c:v>
                </c:pt>
                <c:pt idx="3">
                  <c:v>111.11111111111111</c:v>
                </c:pt>
                <c:pt idx="4">
                  <c:v>124.36111111111111</c:v>
                </c:pt>
                <c:pt idx="5">
                  <c:v>143.83333333333334</c:v>
                </c:pt>
                <c:pt idx="6">
                  <c:v>161.88888888888889</c:v>
                </c:pt>
                <c:pt idx="7">
                  <c:v>167.45454545454547</c:v>
                </c:pt>
                <c:pt idx="8">
                  <c:v>182.45454545454547</c:v>
                </c:pt>
                <c:pt idx="9">
                  <c:v>194.04545454545453</c:v>
                </c:pt>
                <c:pt idx="10">
                  <c:v>229</c:v>
                </c:pt>
                <c:pt idx="11">
                  <c:v>247.54545454545453</c:v>
                </c:pt>
                <c:pt idx="12">
                  <c:v>277</c:v>
                </c:pt>
                <c:pt idx="13">
                  <c:v>272</c:v>
                </c:pt>
                <c:pt idx="14">
                  <c:v>299.72727272727275</c:v>
                </c:pt>
                <c:pt idx="15">
                  <c:v>309.81818181818181</c:v>
                </c:pt>
              </c:numCache>
            </c:numRef>
          </c:yVal>
          <c:smooth val="0"/>
          <c:extLst>
            <c:ext xmlns:c16="http://schemas.microsoft.com/office/drawing/2014/chart" uri="{C3380CC4-5D6E-409C-BE32-E72D297353CC}">
              <c16:uniqueId val="{00000001-9F9B-4AF0-BFE6-A9BC7A0395A3}"/>
            </c:ext>
          </c:extLst>
        </c:ser>
        <c:ser>
          <c:idx val="1"/>
          <c:order val="1"/>
          <c:tx>
            <c:v>CON</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359766878098571"/>
                  <c:y val="0.1805355771077395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solidFill>
                          <a:schemeClr val="accent2"/>
                        </a:solidFill>
                      </a:rPr>
                      <a:t>y = 1.0085x + 21.667</a:t>
                    </a:r>
                    <a:br>
                      <a:rPr lang="en-US" baseline="0">
                        <a:solidFill>
                          <a:schemeClr val="accent2"/>
                        </a:solidFill>
                      </a:rPr>
                    </a:br>
                    <a:r>
                      <a:rPr lang="en-US" baseline="0">
                        <a:solidFill>
                          <a:schemeClr val="accent2"/>
                        </a:solidFill>
                      </a:rPr>
                      <a:t>R² = 0.9866</a:t>
                    </a:r>
                    <a:endParaRPr lang="en-US">
                      <a:solidFill>
                        <a:schemeClr val="accent2"/>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'Growth Metrics_Weight (kg)'!$T$3:$AK$3</c:f>
              <c:numCache>
                <c:formatCode>0.0</c:formatCode>
                <c:ptCount val="18"/>
                <c:pt idx="0">
                  <c:v>27.166666666666668</c:v>
                </c:pt>
                <c:pt idx="1">
                  <c:v>49.166666666666664</c:v>
                </c:pt>
                <c:pt idx="2">
                  <c:v>56.166666666666664</c:v>
                </c:pt>
                <c:pt idx="3">
                  <c:v>63.166666666666664</c:v>
                </c:pt>
                <c:pt idx="4">
                  <c:v>75.166666666666671</c:v>
                </c:pt>
                <c:pt idx="5">
                  <c:v>82.166666666666671</c:v>
                </c:pt>
                <c:pt idx="6">
                  <c:v>97.166666666666671</c:v>
                </c:pt>
                <c:pt idx="7">
                  <c:v>112.16666666666667</c:v>
                </c:pt>
                <c:pt idx="8">
                  <c:v>125.16666666666667</c:v>
                </c:pt>
                <c:pt idx="9">
                  <c:v>140.16666666666666</c:v>
                </c:pt>
                <c:pt idx="10">
                  <c:v>153.16666666666666</c:v>
                </c:pt>
                <c:pt idx="11">
                  <c:v>182.16666666666666</c:v>
                </c:pt>
                <c:pt idx="12">
                  <c:v>216.16666666666666</c:v>
                </c:pt>
                <c:pt idx="13">
                  <c:v>243.16666666666666</c:v>
                </c:pt>
                <c:pt idx="14">
                  <c:v>286.05882352941177</c:v>
                </c:pt>
                <c:pt idx="15">
                  <c:v>299.05882352941177</c:v>
                </c:pt>
                <c:pt idx="16">
                  <c:v>327.05882352941177</c:v>
                </c:pt>
                <c:pt idx="17">
                  <c:v>361.05882352941177</c:v>
                </c:pt>
              </c:numCache>
            </c:numRef>
          </c:xVal>
          <c:yVal>
            <c:numRef>
              <c:f>'Growth Metrics_Weight (kg)'!$T$26:$AK$26</c:f>
              <c:numCache>
                <c:formatCode>0.0</c:formatCode>
                <c:ptCount val="18"/>
                <c:pt idx="0">
                  <c:v>52.518750000000004</c:v>
                </c:pt>
                <c:pt idx="1">
                  <c:v>64.168750000000003</c:v>
                </c:pt>
                <c:pt idx="2">
                  <c:v>71.531249999999986</c:v>
                </c:pt>
                <c:pt idx="3">
                  <c:v>79.543749999999989</c:v>
                </c:pt>
                <c:pt idx="4">
                  <c:v>88.456249999999997</c:v>
                </c:pt>
                <c:pt idx="5">
                  <c:v>98.149999999999991</c:v>
                </c:pt>
                <c:pt idx="6">
                  <c:v>116.49374999999999</c:v>
                </c:pt>
                <c:pt idx="7">
                  <c:v>133.99375000000001</c:v>
                </c:pt>
                <c:pt idx="8">
                  <c:v>150.45091922437499</c:v>
                </c:pt>
                <c:pt idx="9">
                  <c:v>170.49403207375005</c:v>
                </c:pt>
                <c:pt idx="10">
                  <c:v>187.07850310187501</c:v>
                </c:pt>
                <c:pt idx="11">
                  <c:v>215.79657002749997</c:v>
                </c:pt>
                <c:pt idx="12">
                  <c:v>243.91929696750003</c:v>
                </c:pt>
                <c:pt idx="13">
                  <c:v>279.24280278125008</c:v>
                </c:pt>
                <c:pt idx="14">
                  <c:v>322.84436934750005</c:v>
                </c:pt>
                <c:pt idx="15">
                  <c:v>336.22534426249996</c:v>
                </c:pt>
                <c:pt idx="16">
                  <c:v>351.98767912000005</c:v>
                </c:pt>
                <c:pt idx="17">
                  <c:v>347.16826018875003</c:v>
                </c:pt>
              </c:numCache>
            </c:numRef>
          </c:yVal>
          <c:smooth val="0"/>
          <c:extLst>
            <c:ext xmlns:c16="http://schemas.microsoft.com/office/drawing/2014/chart" uri="{C3380CC4-5D6E-409C-BE32-E72D297353CC}">
              <c16:uniqueId val="{00000003-9F9B-4AF0-BFE6-A9BC7A0395A3}"/>
            </c:ext>
          </c:extLst>
        </c:ser>
        <c:dLbls>
          <c:showLegendKey val="0"/>
          <c:showVal val="0"/>
          <c:showCatName val="0"/>
          <c:showSerName val="0"/>
          <c:showPercent val="0"/>
          <c:showBubbleSize val="0"/>
        </c:dLbls>
        <c:axId val="1888740367"/>
        <c:axId val="1888739407"/>
      </c:scatterChart>
      <c:valAx>
        <c:axId val="188874036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Average age</a:t>
                </a:r>
                <a:r>
                  <a:rPr lang="en-US" baseline="0">
                    <a:solidFill>
                      <a:sysClr val="windowText" lastClr="000000"/>
                    </a:solidFill>
                  </a:rPr>
                  <a:t> (days)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739407"/>
        <c:crosses val="autoZero"/>
        <c:crossBetween val="midCat"/>
      </c:valAx>
      <c:valAx>
        <c:axId val="1888739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Average</a:t>
                </a:r>
                <a:r>
                  <a:rPr lang="en-US" baseline="0">
                    <a:solidFill>
                      <a:sysClr val="windowText" lastClr="000000"/>
                    </a:solidFill>
                  </a:rPr>
                  <a:t> weights (kg)</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740367"/>
        <c:crosses val="autoZero"/>
        <c:crossBetween val="midCat"/>
      </c:valAx>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0.23229</cdr:x>
      <cdr:y>0.1523</cdr:y>
    </cdr:from>
    <cdr:to>
      <cdr:x>0.23229</cdr:x>
      <cdr:y>0.81745</cdr:y>
    </cdr:to>
    <cdr:cxnSp macro="">
      <cdr:nvCxnSpPr>
        <cdr:cNvPr id="6" name="Connector: Elbow 5">
          <a:extLst xmlns:a="http://schemas.openxmlformats.org/drawingml/2006/main">
            <a:ext uri="{FF2B5EF4-FFF2-40B4-BE49-F238E27FC236}">
              <a16:creationId xmlns:a16="http://schemas.microsoft.com/office/drawing/2014/main" id="{EA6CF998-DD14-9BDF-DAAB-8E889CB68F45}"/>
            </a:ext>
          </a:extLst>
        </cdr:cNvPr>
        <cdr:cNvCxnSpPr/>
      </cdr:nvCxnSpPr>
      <cdr:spPr>
        <a:xfrm xmlns:a="http://schemas.openxmlformats.org/drawingml/2006/main" rot="5400000">
          <a:off x="255262" y="1485902"/>
          <a:ext cx="2038350" cy="3"/>
        </a:xfrm>
        <a:prstGeom xmlns:a="http://schemas.openxmlformats.org/drawingml/2006/main" prst="bentConnector3">
          <a:avLst/>
        </a:prstGeom>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Lepiane, Sierra</dc:creator>
  <cp:keywords/>
  <dc:description/>
  <cp:lastModifiedBy>Lepiane, Sierra</cp:lastModifiedBy>
  <cp:revision>3</cp:revision>
  <dcterms:created xsi:type="dcterms:W3CDTF">2026-03-16T17:05:00Z</dcterms:created>
  <dcterms:modified xsi:type="dcterms:W3CDTF">2026-03-17T03:57:00Z</dcterms:modified>
</cp:coreProperties>
</file>