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427BAA" w14:textId="29DE6D82" w:rsidR="00793E03" w:rsidRDefault="00793E03" w:rsidP="00226E22">
      <w:pPr>
        <w:pStyle w:val="Heading1"/>
        <w:spacing w:before="0" w:after="0" w:line="240" w:lineRule="auto"/>
        <w:jc w:val="center"/>
        <w:rPr>
          <w:rFonts w:asciiTheme="majorHAnsi" w:eastAsia="Times New Roman" w:hAnsiTheme="majorHAnsi" w:cstheme="majorHAnsi"/>
          <w:bCs/>
          <w:kern w:val="0"/>
          <w:szCs w:val="24"/>
          <w14:ligatures w14:val="none"/>
        </w:rPr>
      </w:pPr>
      <w:r w:rsidRPr="00793E03">
        <w:rPr>
          <w:rFonts w:asciiTheme="majorHAnsi" w:eastAsia="Times New Roman" w:hAnsiTheme="majorHAnsi" w:cstheme="majorHAnsi"/>
          <w:bCs/>
          <w:kern w:val="0"/>
          <w:szCs w:val="24"/>
          <w14:ligatures w14:val="none"/>
        </w:rPr>
        <w:t>Monitoring Zero-Valent Iron Reactivity Using Spectral Induced Polarization</w:t>
      </w:r>
    </w:p>
    <w:p w14:paraId="6A0B3DA9" w14:textId="77777777" w:rsidR="00BE068D" w:rsidRPr="00BE068D" w:rsidRDefault="00BE068D" w:rsidP="00BE068D">
      <w:pPr>
        <w:spacing w:after="0" w:line="240" w:lineRule="auto"/>
      </w:pPr>
    </w:p>
    <w:p w14:paraId="39B3D176" w14:textId="5EF94106" w:rsidR="00BE068D" w:rsidRPr="00BE068D" w:rsidRDefault="00BE068D" w:rsidP="00BE068D">
      <w:pPr>
        <w:spacing w:after="0" w:line="240" w:lineRule="auto"/>
        <w:jc w:val="center"/>
      </w:pPr>
      <w:r w:rsidRPr="00BE068D">
        <w:t>Environmental Sciences Graduate Program</w:t>
      </w:r>
      <w:r>
        <w:t xml:space="preserve">, </w:t>
      </w:r>
      <w:r w:rsidRPr="00BE068D">
        <w:t>Oregon State University</w:t>
      </w:r>
    </w:p>
    <w:p w14:paraId="30A38B39" w14:textId="14D98E1E" w:rsidR="00BE068D" w:rsidRPr="00BE068D" w:rsidRDefault="00C55909" w:rsidP="00BE068D">
      <w:pPr>
        <w:spacing w:after="0" w:line="240" w:lineRule="auto"/>
        <w:jc w:val="center"/>
      </w:pPr>
      <w:r>
        <w:t>Professional Science Masters</w:t>
      </w:r>
      <w:r w:rsidR="00BE068D" w:rsidRPr="00BE068D">
        <w:t xml:space="preserve"> Executive Summary</w:t>
      </w:r>
      <w:r w:rsidR="00BE068D">
        <w:t xml:space="preserve"> b</w:t>
      </w:r>
      <w:r w:rsidR="00BE068D" w:rsidRPr="00BE068D">
        <w:t>y Zoe Vincent</w:t>
      </w:r>
    </w:p>
    <w:p w14:paraId="2ABC0E86" w14:textId="1A2B86E3" w:rsidR="00793E03" w:rsidRPr="00226E22" w:rsidRDefault="00BE068D" w:rsidP="00BE068D">
      <w:pPr>
        <w:spacing w:after="0" w:line="240" w:lineRule="auto"/>
        <w:jc w:val="center"/>
      </w:pPr>
      <w:r w:rsidRPr="00226E22">
        <w:t>Advised by</w:t>
      </w:r>
      <w:r w:rsidR="00793E03" w:rsidRPr="00226E22">
        <w:t>: Dr. Carolyn Fonyo Boggess, Dr. Hilary Emerson, Dr. Carlos Bonilla</w:t>
      </w:r>
    </w:p>
    <w:p w14:paraId="2A267CE3" w14:textId="23F57448" w:rsidR="00793E03" w:rsidRPr="00793E03" w:rsidRDefault="00793E03" w:rsidP="00793E03">
      <w:pPr>
        <w:spacing w:after="0" w:line="240" w:lineRule="auto"/>
        <w:rPr>
          <w:rFonts w:asciiTheme="majorHAnsi" w:eastAsia="Times New Roman" w:hAnsiTheme="majorHAnsi" w:cstheme="majorHAnsi"/>
          <w:kern w:val="0"/>
          <w14:ligatures w14:val="none"/>
        </w:rPr>
      </w:pPr>
    </w:p>
    <w:p w14:paraId="2191D2A1" w14:textId="77777777" w:rsidR="00793E03" w:rsidRPr="00793E03" w:rsidRDefault="00793E03" w:rsidP="00793E03">
      <w:pPr>
        <w:pStyle w:val="Heading1"/>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t>Project Context and Motivation</w:t>
      </w:r>
    </w:p>
    <w:p w14:paraId="724A2CDF" w14:textId="5B80FCBB" w:rsidR="00793E03" w:rsidRPr="00793E03" w:rsidRDefault="00793E03" w:rsidP="00793E03">
      <w:pPr>
        <w:spacing w:after="0" w:line="240" w:lineRule="auto"/>
        <w:ind w:firstLine="720"/>
        <w:rPr>
          <w:rFonts w:asciiTheme="majorHAnsi" w:hAnsiTheme="majorHAnsi" w:cstheme="majorHAnsi"/>
        </w:rPr>
      </w:pPr>
      <w:r w:rsidRPr="00793E03">
        <w:rPr>
          <w:rFonts w:asciiTheme="majorHAnsi" w:hAnsiTheme="majorHAnsi" w:cstheme="majorHAnsi"/>
        </w:rPr>
        <w:t>Legacy contamination at industrial and Department of Energy (DOE) sites presents persistent risks to human and environmental health, particularly where groundwater plumes intersect sensitive receptors such as rivers. At sites like the Hanford Site in Washington State, hexavalent chromium (Cr(VI)) remains a major contaminant of concern due to its toxicity and mobility, prompting increasingly stringent regulatory standards</w:t>
      </w:r>
      <w:r w:rsidR="00BE068D">
        <w:rPr>
          <w:rFonts w:asciiTheme="majorHAnsi" w:hAnsiTheme="majorHAnsi" w:cstheme="majorHAnsi"/>
        </w:rPr>
        <w:t xml:space="preserve"> </w:t>
      </w:r>
      <w:r w:rsidR="00BE068D" w:rsidRPr="0019008A">
        <w:rPr>
          <w:rFonts w:cs="Times New Roman"/>
        </w:rPr>
        <w:fldChar w:fldCharType="begin"/>
      </w:r>
      <w:r w:rsidR="00BE068D">
        <w:rPr>
          <w:rFonts w:cs="Times New Roman"/>
        </w:rPr>
        <w:instrText xml:space="preserve"> ADDIN EN.CITE &lt;EndNote&gt;&lt;Cite&gt;&lt;Author&gt;Gibbons&lt;/Author&gt;&lt;Year&gt;2024&lt;/Year&gt;&lt;RecNum&gt;50&lt;/RecNum&gt;&lt;DisplayText&gt;(Gibbons et al., 2024)&lt;/DisplayText&gt;&lt;record&gt;&lt;rec-number&gt;50&lt;/rec-number&gt;&lt;foreign-keys&gt;&lt;key app="EN" db-id="rvrfffxvd5902cevspav2wwppepa50adxf00" timestamp="1763522457"&gt;50&lt;/key&gt;&lt;/foreign-keys&gt;&lt;ref-type name="Book Section"&gt;5&lt;/ref-type&gt;&lt;contributors&gt;&lt;authors&gt;&lt;author&gt;Gibbons, C. F.&lt;/author&gt;&lt;author&gt;Sasso, A. F.&lt;/author&gt;&lt;author&gt;Angrish, M. M.&lt;/author&gt;&lt;author&gt;Arzuaga, X.&lt;/author&gt;&lt;author&gt;Bateson, T. F.&lt;/author&gt;&lt;author&gt;Christensen, K. Y.&lt;/author&gt;&lt;author&gt;Congleton, J.&lt;/author&gt;&lt;author&gt;Glenn, B.&lt;/author&gt;&lt;author&gt;Kopylev, L.&lt;/author&gt;&lt;author&gt;Lehmann, D.&lt;/author&gt;&lt;author&gt;Mezencev, R. F.&lt;/author&gt;&lt;author&gt;Nachman, R. M.&lt;/author&gt;&lt;author&gt;Newhouse, K.&lt;/author&gt;&lt;author&gt;Radke, E. G.&lt;/author&gt;&lt;author&gt;Reinhart, P.&lt;/author&gt;&lt;author&gt;Rieth, S.&lt;/author&gt;&lt;author&gt;Schlosser, P. M.&lt;/author&gt;&lt;author&gt;Shaffer, R. M.&lt;/author&gt;&lt;author&gt;Weaver, A.&lt;/author&gt;&lt;author&gt;Wilkins, A.&lt;/author&gt;&lt;author&gt;Yost, E. E.&lt;/author&gt;&lt;author&gt;Berner, T.&lt;/author&gt;&lt;author&gt;Blessinger, T.&lt;/author&gt;&lt;author&gt;Cai, C.&lt;/author&gt;&lt;author&gt;Cooper, G.&lt;/author&gt;&lt;author&gt;Dean, J.&lt;/author&gt;&lt;author&gt;Kim, S.&lt;/author&gt;&lt;author&gt;Kodavanti, U.&lt;/author&gt;&lt;author&gt;Larsen, A.&lt;/author&gt;&lt;author&gt;Lin, C. K.&lt;/author&gt;&lt;author&gt;Pardo, L.&lt;/author&gt;&lt;author&gt;Zurlinden, T.&lt;/author&gt;&lt;author&gt;Salazar, K.&lt;/author&gt;&lt;author&gt;Tariq, S.&lt;/author&gt;&lt;author&gt;Smith-Roe, S.&lt;/author&gt;&lt;author&gt;Abdel-Gawad, N.&lt;/author&gt;&lt;author&gt;Garcia, K.&lt;/author&gt;&lt;author&gt;Gigot, C.&lt;/author&gt;&lt;author&gt;Greenhalgh, A.&lt;/author&gt;&lt;author&gt;Hussain, S.&lt;/author&gt;&lt;author&gt;Kaupas, G.&lt;/author&gt;&lt;/authors&gt;&lt;/contributors&gt;&lt;titles&gt;&lt;title&gt;EPA IRIS Assessments&lt;/title&gt;&lt;secondary-title&gt;IRIS Toxicological Review of Hexavalent Chromium [Cr(VI)] CASRN 18540-29-9&lt;/secondary-title&gt;&lt;/titles&gt;&lt;dates&gt;&lt;year&gt;2024&lt;/year&gt;&lt;/dates&gt;&lt;pub-location&gt;Washington (DC)&lt;/pub-location&gt;&lt;publisher&gt;U.S. Environmental Protection Agency&lt;/publisher&gt;&lt;accession-num&gt;39869745&lt;/accession-num&gt;&lt;urls&gt;&lt;/urls&gt;&lt;language&gt;eng&lt;/language&gt;&lt;/record&gt;&lt;/Cite&gt;&lt;/EndNote&gt;</w:instrText>
      </w:r>
      <w:r w:rsidR="00BE068D" w:rsidRPr="0019008A">
        <w:rPr>
          <w:rFonts w:cs="Times New Roman"/>
        </w:rPr>
        <w:fldChar w:fldCharType="separate"/>
      </w:r>
      <w:r w:rsidR="00BE068D">
        <w:rPr>
          <w:rFonts w:cs="Times New Roman"/>
          <w:noProof/>
        </w:rPr>
        <w:t>(Gibbons et al., 2024)</w:t>
      </w:r>
      <w:r w:rsidR="00BE068D" w:rsidRPr="0019008A">
        <w:rPr>
          <w:rFonts w:cs="Times New Roman"/>
        </w:rPr>
        <w:fldChar w:fldCharType="end"/>
      </w:r>
      <w:r w:rsidRPr="00793E03">
        <w:rPr>
          <w:rFonts w:asciiTheme="majorHAnsi" w:hAnsiTheme="majorHAnsi" w:cstheme="majorHAnsi"/>
        </w:rPr>
        <w:t xml:space="preserve">. Remediation strategies commonly rely on reactive amendments such as zero-valent iron (ZVI) permeable </w:t>
      </w:r>
      <w:r w:rsidR="001D4AD8">
        <w:rPr>
          <w:rFonts w:asciiTheme="majorHAnsi" w:hAnsiTheme="majorHAnsi" w:cstheme="majorHAnsi"/>
        </w:rPr>
        <w:t>==</w:t>
      </w:r>
      <w:proofErr w:type="spellStart"/>
      <w:r w:rsidRPr="00793E03">
        <w:rPr>
          <w:rFonts w:asciiTheme="majorHAnsi" w:hAnsiTheme="majorHAnsi" w:cstheme="majorHAnsi"/>
        </w:rPr>
        <w:t>eactive</w:t>
      </w:r>
      <w:proofErr w:type="spellEnd"/>
      <w:r w:rsidRPr="00793E03">
        <w:rPr>
          <w:rFonts w:asciiTheme="majorHAnsi" w:hAnsiTheme="majorHAnsi" w:cstheme="majorHAnsi"/>
        </w:rPr>
        <w:t xml:space="preserve"> barriers (PRBs) to reduce and immobilize Cr</w:t>
      </w:r>
      <w:r w:rsidR="00E91C53">
        <w:rPr>
          <w:rFonts w:asciiTheme="majorHAnsi" w:hAnsiTheme="majorHAnsi" w:cstheme="majorHAnsi"/>
        </w:rPr>
        <w:t>(</w:t>
      </w:r>
      <w:r w:rsidRPr="00793E03">
        <w:rPr>
          <w:rFonts w:asciiTheme="majorHAnsi" w:hAnsiTheme="majorHAnsi" w:cstheme="majorHAnsi"/>
        </w:rPr>
        <w:t>VI</w:t>
      </w:r>
      <w:r w:rsidR="00E91C53">
        <w:rPr>
          <w:rFonts w:asciiTheme="majorHAnsi" w:hAnsiTheme="majorHAnsi" w:cstheme="majorHAnsi"/>
        </w:rPr>
        <w:t>)</w:t>
      </w:r>
      <w:r w:rsidR="00BE068D">
        <w:rPr>
          <w:rFonts w:asciiTheme="majorHAnsi" w:hAnsiTheme="majorHAnsi" w:cstheme="majorHAnsi"/>
        </w:rPr>
        <w:t xml:space="preserve"> </w:t>
      </w:r>
      <w:r w:rsidR="00BE068D" w:rsidRPr="0019008A">
        <w:rPr>
          <w:rFonts w:cs="Times New Roman"/>
        </w:rPr>
        <w:fldChar w:fldCharType="begin"/>
      </w:r>
      <w:r w:rsidR="00BE068D">
        <w:rPr>
          <w:rFonts w:cs="Times New Roman"/>
        </w:rPr>
        <w:instrText xml:space="preserve"> ADDIN EN.CITE &lt;EndNote&gt;&lt;Cite&gt;&lt;Author&gt;Noubactep&lt;/Author&gt;&lt;Year&gt;2015&lt;/Year&gt;&lt;RecNum&gt;7272&lt;/RecNum&gt;&lt;DisplayText&gt;(Noubactep, 2015; Scherer et al., 2000)&lt;/DisplayText&gt;&lt;record&gt;&lt;rec-number&gt;7272&lt;/rec-number&gt;&lt;foreign-keys&gt;&lt;key app="EN" db-id="0frer2xanzwee9e025uvspadtattvae92a0e" timestamp="1726928958" guid="d386d188-2a26-409a-9efe-fbeceb11a03c"&gt;7272&lt;/key&gt;&lt;/foreign-keys&gt;&lt;ref-type name="Journal Article"&gt;17&lt;/ref-type&gt;&lt;contributors&gt;&lt;authors&gt;&lt;author&gt;Noubactep, Chicgoua&lt;/author&gt;&lt;/authors&gt;&lt;/contributors&gt;&lt;titles&gt;&lt;title&gt;Metallic iron for environmental remediation: A review of reviews&lt;/title&gt;&lt;secondary-title&gt;Water research&lt;/secondary-title&gt;&lt;/titles&gt;&lt;periodical&gt;&lt;full-title&gt;Water Res&lt;/full-title&gt;&lt;abbr-1&gt;Water research&lt;/abbr-1&gt;&lt;/periodical&gt;&lt;pages&gt;114-123&lt;/pages&gt;&lt;volume&gt;85&lt;/volume&gt;&lt;dates&gt;&lt;year&gt;2015&lt;/year&gt;&lt;/dates&gt;&lt;isbn&gt;0043-1354&lt;/isbn&gt;&lt;urls&gt;&lt;/urls&gt;&lt;/record&gt;&lt;/Cite&gt;&lt;Cite&gt;&lt;Author&gt;Scherer&lt;/Author&gt;&lt;Year&gt;2000&lt;/Year&gt;&lt;RecNum&gt;7273&lt;/RecNum&gt;&lt;record&gt;&lt;rec-number&gt;7273&lt;/rec-number&gt;&lt;foreign-keys&gt;&lt;key app="EN" db-id="0frer2xanzwee9e025uvspadtattvae92a0e" timestamp="1726929967" guid="772280ce-fb94-47a4-a67a-c744be1b0ce5"&gt;7273&lt;/key&gt;&lt;/foreign-keys&gt;&lt;ref-type name="Journal Article"&gt;17&lt;/ref-type&gt;&lt;contributors&gt;&lt;authors&gt;&lt;author&gt;Scherer, Michelle M&lt;/author&gt;&lt;author&gt;Richter, Sascha&lt;/author&gt;&lt;author&gt;Valentine, Richard L&lt;/author&gt;&lt;author&gt;Alvarez, Pedro JJ&lt;/author&gt;&lt;/authors&gt;&lt;/contributors&gt;&lt;titles&gt;&lt;title&gt;Chemistry and microbiology of permeable reactive barriers for in situ groundwater clean up&lt;/title&gt;&lt;secondary-title&gt;Critical reviews in microbiology&lt;/secondary-title&gt;&lt;/titles&gt;&lt;periodical&gt;&lt;full-title&gt;Critical reviews in microbiology&lt;/full-title&gt;&lt;/periodical&gt;&lt;pages&gt;221-264&lt;/pages&gt;&lt;volume&gt;26&lt;/volume&gt;&lt;number&gt;4&lt;/number&gt;&lt;dates&gt;&lt;year&gt;2000&lt;/year&gt;&lt;/dates&gt;&lt;isbn&gt;1040-841X&lt;/isbn&gt;&lt;urls&gt;&lt;/urls&gt;&lt;/record&gt;&lt;/Cite&gt;&lt;/EndNote&gt;</w:instrText>
      </w:r>
      <w:r w:rsidR="00BE068D" w:rsidRPr="0019008A">
        <w:rPr>
          <w:rFonts w:cs="Times New Roman"/>
        </w:rPr>
        <w:fldChar w:fldCharType="separate"/>
      </w:r>
      <w:r w:rsidR="00BE068D">
        <w:rPr>
          <w:rFonts w:cs="Times New Roman"/>
          <w:noProof/>
        </w:rPr>
        <w:t>(Noubactep, 2015; Scherer et al., 2000)</w:t>
      </w:r>
      <w:r w:rsidR="00BE068D" w:rsidRPr="0019008A">
        <w:rPr>
          <w:rFonts w:cs="Times New Roman"/>
        </w:rPr>
        <w:fldChar w:fldCharType="end"/>
      </w:r>
      <w:r w:rsidRPr="00793E03">
        <w:rPr>
          <w:rFonts w:asciiTheme="majorHAnsi" w:hAnsiTheme="majorHAnsi" w:cstheme="majorHAnsi"/>
        </w:rPr>
        <w:t>.</w:t>
      </w:r>
    </w:p>
    <w:p w14:paraId="22A864AB" w14:textId="228A87ED" w:rsidR="00793E03" w:rsidRPr="00793E03" w:rsidRDefault="00793E03" w:rsidP="00793E03">
      <w:pPr>
        <w:spacing w:after="0" w:line="240" w:lineRule="auto"/>
        <w:ind w:firstLine="720"/>
        <w:rPr>
          <w:rFonts w:asciiTheme="majorHAnsi" w:hAnsiTheme="majorHAnsi" w:cstheme="majorHAnsi"/>
        </w:rPr>
      </w:pPr>
      <w:r w:rsidRPr="00793E03">
        <w:rPr>
          <w:rFonts w:asciiTheme="majorHAnsi" w:hAnsiTheme="majorHAnsi" w:cstheme="majorHAnsi"/>
        </w:rPr>
        <w:t xml:space="preserve">A central challenge in remediation is monitoring </w:t>
      </w:r>
      <w:r w:rsidR="00BB6B62">
        <w:rPr>
          <w:rFonts w:asciiTheme="majorHAnsi" w:hAnsiTheme="majorHAnsi" w:cstheme="majorHAnsi"/>
        </w:rPr>
        <w:t xml:space="preserve">long term </w:t>
      </w:r>
      <w:r w:rsidRPr="00793E03">
        <w:rPr>
          <w:rFonts w:asciiTheme="majorHAnsi" w:hAnsiTheme="majorHAnsi" w:cstheme="majorHAnsi"/>
        </w:rPr>
        <w:t>amendment performance over time. Conventional monitoring approaches (groundwater sampling, coring, and well networks) are costly, invasive, spatially limited, and often incapable of resolving subsurface geochemical processes as they evolve. Electrical resistivity methods can track changes in pore-fluid conductivity but are largely insensitive to mineralogical and surface-controlled reactions that govern amendment performance</w:t>
      </w:r>
      <w:r w:rsidR="00006F65">
        <w:rPr>
          <w:rFonts w:asciiTheme="majorHAnsi" w:hAnsiTheme="majorHAnsi" w:cstheme="majorHAnsi"/>
        </w:rPr>
        <w:t xml:space="preserve"> </w:t>
      </w:r>
      <w:r w:rsidR="00006F65" w:rsidRPr="0019008A">
        <w:rPr>
          <w:rFonts w:cs="Times New Roman"/>
        </w:rPr>
        <w:fldChar w:fldCharType="begin">
          <w:fldData xml:space="preserve">PEVuZE5vdGU+PENpdGU+PEF1dGhvcj5Kb2huc29uPC9BdXRob3I+PFllYXI+MjAxNTwvWWVhcj48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</w:fldData>
        </w:fldChar>
      </w:r>
      <w:r w:rsidR="00006F65">
        <w:rPr>
          <w:rFonts w:cs="Times New Roman"/>
        </w:rPr>
        <w:instrText xml:space="preserve"> ADDIN EN.CITE </w:instrText>
      </w:r>
      <w:r w:rsidR="00006F65">
        <w:rPr>
          <w:rFonts w:cs="Times New Roman"/>
        </w:rPr>
        <w:fldChar w:fldCharType="begin">
          <w:fldData xml:space="preserve">PEVuZE5vdGU+PENpdGU+PEF1dGhvcj5Kb2huc29uPC9BdXRob3I+PFllYXI+MjAxNTwvWWVhcj48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</w:fldData>
        </w:fldChar>
      </w:r>
      <w:r w:rsidR="00006F65">
        <w:rPr>
          <w:rFonts w:cs="Times New Roman"/>
        </w:rPr>
        <w:instrText xml:space="preserve"> ADDIN EN.CITE.DATA </w:instrText>
      </w:r>
      <w:r w:rsidR="00006F65">
        <w:rPr>
          <w:rFonts w:cs="Times New Roman"/>
        </w:rPr>
      </w:r>
      <w:r w:rsidR="00006F65">
        <w:rPr>
          <w:rFonts w:cs="Times New Roman"/>
        </w:rPr>
        <w:fldChar w:fldCharType="end"/>
      </w:r>
      <w:r w:rsidR="00006F65" w:rsidRPr="0019008A">
        <w:rPr>
          <w:rFonts w:cs="Times New Roman"/>
        </w:rPr>
      </w:r>
      <w:r w:rsidR="00006F65" w:rsidRPr="0019008A">
        <w:rPr>
          <w:rFonts w:cs="Times New Roman"/>
        </w:rPr>
        <w:fldChar w:fldCharType="separate"/>
      </w:r>
      <w:r w:rsidR="00006F65">
        <w:rPr>
          <w:rFonts w:cs="Times New Roman"/>
          <w:noProof/>
        </w:rPr>
        <w:t>(Johnson et al., 2015; Truex et al., 2018)</w:t>
      </w:r>
      <w:r w:rsidR="00006F65" w:rsidRPr="0019008A">
        <w:rPr>
          <w:rFonts w:cs="Times New Roman"/>
        </w:rPr>
        <w:fldChar w:fldCharType="end"/>
      </w:r>
      <w:r w:rsidRPr="00793E03">
        <w:rPr>
          <w:rFonts w:asciiTheme="majorHAnsi" w:hAnsiTheme="majorHAnsi" w:cstheme="majorHAnsi"/>
        </w:rPr>
        <w:t>.</w:t>
      </w:r>
    </w:p>
    <w:p w14:paraId="312ABF20" w14:textId="70C86C85" w:rsidR="00793E03" w:rsidRPr="00793E03" w:rsidRDefault="00793E03" w:rsidP="00BE068D">
      <w:pPr>
        <w:spacing w:after="0" w:line="240" w:lineRule="auto"/>
        <w:ind w:firstLine="720"/>
        <w:rPr>
          <w:rFonts w:asciiTheme="majorHAnsi" w:hAnsiTheme="majorHAnsi" w:cstheme="majorHAnsi"/>
        </w:rPr>
      </w:pPr>
      <w:r w:rsidRPr="00793E03">
        <w:rPr>
          <w:rFonts w:asciiTheme="majorHAnsi" w:hAnsiTheme="majorHAnsi" w:cstheme="majorHAnsi"/>
        </w:rPr>
        <w:t xml:space="preserve">Spectral induced polarization (SIP) offers a promising </w:t>
      </w:r>
      <w:r w:rsidR="00BE068D">
        <w:rPr>
          <w:rFonts w:asciiTheme="majorHAnsi" w:hAnsiTheme="majorHAnsi" w:cstheme="majorHAnsi"/>
        </w:rPr>
        <w:t xml:space="preserve">complement to existing monitoring strategies that would enhance the overall understanding of subsurface alteration during remediation </w:t>
      </w:r>
      <w:r w:rsidR="00BE068D" w:rsidRPr="00BE068D">
        <w:rPr>
          <w:rFonts w:asciiTheme="majorHAnsi" w:hAnsiTheme="majorHAnsi" w:cstheme="majorHAnsi"/>
        </w:rPr>
        <w:fldChar w:fldCharType="begin">
          <w:fldData xml:space="preserve">PEVuZE5vdGU+PENpdGU+PEF1dGhvcj5XaWxsaWFtczwvQXV0aG9yPjxZZWFyPjIwMDk8L1llYXI+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</w:fldData>
        </w:fldChar>
      </w:r>
      <w:r w:rsidR="00BE068D" w:rsidRPr="00BE068D">
        <w:rPr>
          <w:rFonts w:asciiTheme="majorHAnsi" w:hAnsiTheme="majorHAnsi" w:cstheme="majorHAnsi"/>
        </w:rPr>
        <w:instrText xml:space="preserve"> ADDIN EN.CITE </w:instrText>
      </w:r>
      <w:r w:rsidR="00BE068D" w:rsidRPr="00BE068D">
        <w:rPr>
          <w:rFonts w:asciiTheme="majorHAnsi" w:hAnsiTheme="majorHAnsi" w:cstheme="majorHAnsi"/>
        </w:rPr>
        <w:fldChar w:fldCharType="begin">
          <w:fldData xml:space="preserve">PEVuZE5vdGU+PENpdGU+PEF1dGhvcj5XaWxsaWFtczwvQXV0aG9yPjxZZWFyPjIwMDk8L1llYXI+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</w:fldData>
        </w:fldChar>
      </w:r>
      <w:r w:rsidR="00BE068D" w:rsidRPr="00BE068D">
        <w:rPr>
          <w:rFonts w:asciiTheme="majorHAnsi" w:hAnsiTheme="majorHAnsi" w:cstheme="majorHAnsi"/>
        </w:rPr>
        <w:instrText xml:space="preserve"> ADDIN EN.CITE.DATA </w:instrText>
      </w:r>
      <w:r w:rsidR="00BE068D" w:rsidRPr="00BE068D">
        <w:rPr>
          <w:rFonts w:asciiTheme="majorHAnsi" w:hAnsiTheme="majorHAnsi" w:cstheme="majorHAnsi"/>
        </w:rPr>
      </w:r>
      <w:r w:rsidR="00BE068D" w:rsidRPr="00BE068D">
        <w:rPr>
          <w:rFonts w:asciiTheme="majorHAnsi" w:hAnsiTheme="majorHAnsi" w:cstheme="majorHAnsi"/>
        </w:rPr>
        <w:fldChar w:fldCharType="end"/>
      </w:r>
      <w:r w:rsidR="00BE068D" w:rsidRPr="00BE068D">
        <w:rPr>
          <w:rFonts w:asciiTheme="majorHAnsi" w:hAnsiTheme="majorHAnsi" w:cstheme="majorHAnsi"/>
        </w:rPr>
      </w:r>
      <w:r w:rsidR="00BE068D" w:rsidRPr="00BE068D">
        <w:rPr>
          <w:rFonts w:asciiTheme="majorHAnsi" w:hAnsiTheme="majorHAnsi" w:cstheme="majorHAnsi"/>
        </w:rPr>
        <w:fldChar w:fldCharType="separate"/>
      </w:r>
      <w:r w:rsidR="00BE068D" w:rsidRPr="00BE068D">
        <w:rPr>
          <w:rFonts w:asciiTheme="majorHAnsi" w:hAnsiTheme="majorHAnsi" w:cstheme="majorHAnsi"/>
        </w:rPr>
        <w:t>(Heenan et al., 2013; Orozco et al., 2015; Saneiyan et al., 2021; Saneiyan et al., 2019; Saneiyan et al., 2018; Williams et al., 2009)</w:t>
      </w:r>
      <w:r w:rsidR="00BE068D" w:rsidRPr="00BE068D">
        <w:rPr>
          <w:rFonts w:asciiTheme="majorHAnsi" w:hAnsiTheme="majorHAnsi" w:cstheme="majorHAnsi"/>
        </w:rPr>
        <w:fldChar w:fldCharType="end"/>
      </w:r>
      <w:r w:rsidRPr="00793E03">
        <w:rPr>
          <w:rFonts w:asciiTheme="majorHAnsi" w:hAnsiTheme="majorHAnsi" w:cstheme="majorHAnsi"/>
        </w:rPr>
        <w:t>. SIP is sensitive to interfacial charge storage, grain-scale conduction, and mineral</w:t>
      </w:r>
      <w:r w:rsidR="007E23EA">
        <w:rPr>
          <w:rFonts w:asciiTheme="majorHAnsi" w:hAnsiTheme="majorHAnsi" w:cstheme="majorHAnsi"/>
        </w:rPr>
        <w:t>-</w:t>
      </w:r>
      <w:r w:rsidRPr="00793E03">
        <w:rPr>
          <w:rFonts w:asciiTheme="majorHAnsi" w:hAnsiTheme="majorHAnsi" w:cstheme="majorHAnsi"/>
        </w:rPr>
        <w:t>fluid interactions, making it well suited to monitor reactive amendments such as ZVI. However, while theoretical and laboratory studies have linked SIP responses to particle size and volume fraction of electron-conducting materials, key gaps remain regarding how real-world factors</w:t>
      </w:r>
      <w:r>
        <w:rPr>
          <w:rFonts w:asciiTheme="majorHAnsi" w:hAnsiTheme="majorHAnsi" w:cstheme="majorHAnsi"/>
        </w:rPr>
        <w:t xml:space="preserve"> (</w:t>
      </w:r>
      <w:r w:rsidRPr="00793E03">
        <w:rPr>
          <w:rFonts w:asciiTheme="majorHAnsi" w:hAnsiTheme="majorHAnsi" w:cstheme="majorHAnsi"/>
        </w:rPr>
        <w:t>particle size distributions, material purity, corrosion, passivation, and secondary mineral formation</w:t>
      </w:r>
      <w:r>
        <w:rPr>
          <w:rFonts w:asciiTheme="majorHAnsi" w:hAnsiTheme="majorHAnsi" w:cstheme="majorHAnsi"/>
        </w:rPr>
        <w:t xml:space="preserve">) </w:t>
      </w:r>
      <w:r w:rsidRPr="00793E03">
        <w:rPr>
          <w:rFonts w:asciiTheme="majorHAnsi" w:hAnsiTheme="majorHAnsi" w:cstheme="majorHAnsi"/>
        </w:rPr>
        <w:t>alter SIP signals over tim</w:t>
      </w:r>
      <w:r w:rsidR="00BE068D">
        <w:rPr>
          <w:rFonts w:asciiTheme="majorHAnsi" w:hAnsiTheme="majorHAnsi" w:cstheme="majorHAnsi"/>
        </w:rPr>
        <w:t xml:space="preserve">e </w:t>
      </w:r>
      <w:r w:rsidR="00BE068D" w:rsidRPr="0019008A">
        <w:fldChar w:fldCharType="begin">
          <w:fldData xml:space="preserve">PEVuZE5vdGU+PENpdGU+PEF1dGhvcj5BYmRlbCBBYWw8L0F1dGhvcj48WWVhcj4yMDE0PC9ZZWFy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</w:fldData>
        </w:fldChar>
      </w:r>
      <w:r w:rsidR="00BE068D">
        <w:instrText xml:space="preserve"> ADDIN EN.CITE </w:instrText>
      </w:r>
      <w:r w:rsidR="00BE068D">
        <w:fldChar w:fldCharType="begin">
          <w:fldData xml:space="preserve">PEVuZE5vdGU+PENpdGU+PEF1dGhvcj5BYmRlbCBBYWw8L0F1dGhvcj48WWVhcj4yMDE0PC9ZZWFy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</w:fldData>
        </w:fldChar>
      </w:r>
      <w:r w:rsidR="00BE068D">
        <w:instrText xml:space="preserve"> ADDIN EN.CITE.DATA </w:instrText>
      </w:r>
      <w:r w:rsidR="00BE068D">
        <w:fldChar w:fldCharType="end"/>
      </w:r>
      <w:r w:rsidR="00BE068D" w:rsidRPr="0019008A">
        <w:fldChar w:fldCharType="separate"/>
      </w:r>
      <w:r w:rsidR="00BE068D">
        <w:rPr>
          <w:noProof/>
        </w:rPr>
        <w:t>(Abdel Aal et al., 2014; Joyce et al., 2012; Orozco et al., 2015; Slater et al., 2005; Wu et al., 2008)</w:t>
      </w:r>
      <w:r w:rsidR="00BE068D" w:rsidRPr="0019008A">
        <w:fldChar w:fldCharType="end"/>
      </w:r>
      <w:r w:rsidRPr="00793E03">
        <w:rPr>
          <w:rFonts w:asciiTheme="majorHAnsi" w:hAnsiTheme="majorHAnsi" w:cstheme="majorHAnsi"/>
        </w:rPr>
        <w:t>.</w:t>
      </w:r>
    </w:p>
    <w:p w14:paraId="4FF301A5" w14:textId="77777777" w:rsidR="00793E03" w:rsidRPr="00793E03" w:rsidRDefault="00793E03" w:rsidP="00793E03">
      <w:pPr>
        <w:spacing w:after="0" w:line="240" w:lineRule="auto"/>
        <w:ind w:firstLine="720"/>
        <w:rPr>
          <w:rFonts w:asciiTheme="majorHAnsi" w:hAnsiTheme="majorHAnsi" w:cstheme="majorHAnsi"/>
        </w:rPr>
      </w:pPr>
      <w:r w:rsidRPr="00793E03">
        <w:rPr>
          <w:rFonts w:asciiTheme="majorHAnsi" w:hAnsiTheme="majorHAnsi" w:cstheme="majorHAnsi"/>
        </w:rPr>
        <w:t>This project addresses these gaps by evaluating whether SIP can serve as a reliable, non-invasive monitoring tool for tracking ZVI corrosion and reduction capacity under both static and flow-through conditions relevant to field remediation.</w:t>
      </w:r>
    </w:p>
    <w:p w14:paraId="3892FAAC" w14:textId="387663F2" w:rsidR="00793E03" w:rsidRPr="00793E03" w:rsidRDefault="00793E03" w:rsidP="00793E03">
      <w:pPr>
        <w:spacing w:after="0" w:line="240" w:lineRule="auto"/>
        <w:rPr>
          <w:rFonts w:asciiTheme="majorHAnsi" w:eastAsia="Times New Roman" w:hAnsiTheme="majorHAnsi" w:cstheme="majorHAnsi"/>
          <w:kern w:val="0"/>
          <w14:ligatures w14:val="none"/>
        </w:rPr>
      </w:pPr>
    </w:p>
    <w:p w14:paraId="79A76941" w14:textId="77777777" w:rsidR="00793E03" w:rsidRPr="00793E03" w:rsidRDefault="00793E03" w:rsidP="00793E03">
      <w:pPr>
        <w:pStyle w:val="Heading1"/>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t>Objectives and Research Questions</w:t>
      </w:r>
    </w:p>
    <w:p w14:paraId="267DDB79" w14:textId="4A4E13C3" w:rsidR="00793E03" w:rsidRPr="00793E03" w:rsidRDefault="00793E03" w:rsidP="00793E03">
      <w:pPr>
        <w:spacing w:after="0" w:line="240" w:lineRule="auto"/>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This study was designed to evaluate SIP as a geophysical monitoring technique for ZVI-based remediation systems by addressing two primary questions:</w:t>
      </w:r>
    </w:p>
    <w:p w14:paraId="1D0A541D" w14:textId="77777777" w:rsidR="00793E03" w:rsidRPr="00793E03" w:rsidRDefault="00793E03" w:rsidP="00793E03">
      <w:pPr>
        <w:pStyle w:val="ListParagraph"/>
        <w:numPr>
          <w:ilvl w:val="0"/>
          <w:numId w:val="9"/>
        </w:numPr>
        <w:spacing w:after="0" w:line="240" w:lineRule="auto"/>
        <w:rPr>
          <w:rFonts w:asciiTheme="majorHAnsi" w:hAnsiTheme="majorHAnsi" w:cstheme="majorHAnsi"/>
        </w:rPr>
      </w:pPr>
      <w:r w:rsidRPr="00793E03">
        <w:rPr>
          <w:rFonts w:asciiTheme="majorHAnsi" w:hAnsiTheme="majorHAnsi" w:cstheme="majorHAnsi"/>
        </w:rPr>
        <w:t>How sensitive is SIP to variations in particle size and material purity during iron corrosion?</w:t>
      </w:r>
    </w:p>
    <w:p w14:paraId="30499FD2" w14:textId="77777777" w:rsidR="00793E03" w:rsidRPr="00793E03" w:rsidRDefault="00793E03" w:rsidP="00793E03">
      <w:pPr>
        <w:pStyle w:val="ListParagraph"/>
        <w:numPr>
          <w:ilvl w:val="0"/>
          <w:numId w:val="9"/>
        </w:numPr>
        <w:spacing w:after="0" w:line="240" w:lineRule="auto"/>
        <w:rPr>
          <w:rFonts w:asciiTheme="majorHAnsi" w:hAnsiTheme="majorHAnsi" w:cstheme="majorHAnsi"/>
        </w:rPr>
      </w:pPr>
      <w:r w:rsidRPr="00793E03">
        <w:rPr>
          <w:rFonts w:asciiTheme="majorHAnsi" w:hAnsiTheme="majorHAnsi" w:cstheme="majorHAnsi"/>
        </w:rPr>
        <w:t>Are there SIP signatures that can reliably track redox processes and the progressive consumption of reduction capacity?</w:t>
      </w:r>
    </w:p>
    <w:p w14:paraId="5E6CD108" w14:textId="77777777" w:rsidR="00006F65" w:rsidRDefault="00006F65" w:rsidP="00793E03">
      <w:pPr>
        <w:spacing w:after="0" w:line="240" w:lineRule="auto"/>
        <w:ind w:firstLine="360"/>
        <w:rPr>
          <w:rFonts w:asciiTheme="majorHAnsi" w:eastAsia="Times New Roman" w:hAnsiTheme="majorHAnsi" w:cstheme="majorHAnsi"/>
          <w:kern w:val="0"/>
          <w14:ligatures w14:val="none"/>
        </w:rPr>
      </w:pPr>
    </w:p>
    <w:p w14:paraId="5928A7B3" w14:textId="3058EC45" w:rsidR="00793E03" w:rsidRPr="00793E03" w:rsidRDefault="00793E03" w:rsidP="00793E03">
      <w:pPr>
        <w:spacing w:after="0" w:line="240" w:lineRule="auto"/>
        <w:ind w:firstLine="36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To answer these questions, controlled laboratory column experiments were conducted to isolate the effects of particle size, mineral purity, corrosion, and flow on SIP observables and to directly link geophysical responses to geochemical and solid-phase transformations.</w:t>
      </w:r>
    </w:p>
    <w:p w14:paraId="07B6705F" w14:textId="61C86B17" w:rsidR="00793E03" w:rsidRPr="00793E03" w:rsidRDefault="00793E03" w:rsidP="00793E03">
      <w:pPr>
        <w:spacing w:after="0" w:line="240" w:lineRule="auto"/>
        <w:rPr>
          <w:rFonts w:asciiTheme="majorHAnsi" w:eastAsia="Times New Roman" w:hAnsiTheme="majorHAnsi" w:cstheme="majorHAnsi"/>
          <w:kern w:val="0"/>
          <w14:ligatures w14:val="none"/>
        </w:rPr>
      </w:pPr>
    </w:p>
    <w:p w14:paraId="7D01A707" w14:textId="77777777" w:rsidR="00793E03" w:rsidRPr="00793E03" w:rsidRDefault="00793E03" w:rsidP="00793E03">
      <w:pPr>
        <w:pStyle w:val="Heading1"/>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t>Experimental Approach</w:t>
      </w:r>
    </w:p>
    <w:p w14:paraId="4371B26D" w14:textId="23B1F9B5" w:rsidR="00793E03" w:rsidRDefault="00793E03" w:rsidP="00793E03">
      <w:pPr>
        <w:spacing w:after="0" w:line="240" w:lineRule="auto"/>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Two complementary experimental systems were employed</w:t>
      </w:r>
      <w:r w:rsidR="00226E22">
        <w:rPr>
          <w:rFonts w:asciiTheme="majorHAnsi" w:eastAsia="Times New Roman" w:hAnsiTheme="majorHAnsi" w:cstheme="majorHAnsi"/>
          <w:kern w:val="0"/>
          <w14:ligatures w14:val="none"/>
        </w:rPr>
        <w:t xml:space="preserve"> (Table 1, Figure 1)</w:t>
      </w:r>
      <w:r w:rsidRPr="00793E03">
        <w:rPr>
          <w:rFonts w:asciiTheme="majorHAnsi" w:eastAsia="Times New Roman" w:hAnsiTheme="majorHAnsi" w:cstheme="majorHAnsi"/>
          <w:kern w:val="0"/>
          <w14:ligatures w14:val="none"/>
        </w:rPr>
        <w:t>:</w:t>
      </w:r>
    </w:p>
    <w:p w14:paraId="38A68CFD" w14:textId="77777777" w:rsidR="00BE068D" w:rsidRPr="00793E03" w:rsidRDefault="00BE068D" w:rsidP="00793E03">
      <w:pPr>
        <w:spacing w:after="0" w:line="240" w:lineRule="auto"/>
        <w:rPr>
          <w:rFonts w:asciiTheme="majorHAnsi" w:eastAsia="Times New Roman" w:hAnsiTheme="majorHAnsi" w:cstheme="majorHAnsi"/>
          <w:kern w:val="0"/>
          <w14:ligatures w14:val="none"/>
        </w:rPr>
      </w:pPr>
    </w:p>
    <w:p w14:paraId="7BD6D53D" w14:textId="77777777" w:rsidR="00793E03" w:rsidRPr="00793E03" w:rsidRDefault="00793E03" w:rsidP="00793E03">
      <w:pPr>
        <w:pStyle w:val="Heading2"/>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t>Static Column Experiments (Short-Term Corrosion)</w:t>
      </w:r>
    </w:p>
    <w:p w14:paraId="4ED2666F" w14:textId="54F34677" w:rsidR="00793E03" w:rsidRDefault="00793E03" w:rsidP="00793E03">
      <w:pPr>
        <w:spacing w:after="0" w:line="240" w:lineRule="auto"/>
        <w:ind w:firstLine="720"/>
        <w:rPr>
          <w:rFonts w:asciiTheme="majorHAnsi" w:eastAsia="Times New Roman" w:hAnsiTheme="majorHAnsi" w:cstheme="majorHAnsi"/>
          <w:kern w:val="0"/>
          <w14:ligatures w14:val="none"/>
        </w:rPr>
        <w:sectPr w:rsidR="00793E03">
          <w:footerReference w:type="default" r:id="rId8"/>
          <w:pgSz w:w="12240" w:h="15840"/>
          <w:pgMar w:top="1440" w:right="1440" w:bottom="1440" w:left="1440" w:header="720" w:footer="720" w:gutter="0"/>
          <w:cols w:space="720"/>
          <w:docGrid w:linePitch="360"/>
        </w:sectPr>
      </w:pPr>
      <w:r w:rsidRPr="00793E03">
        <w:rPr>
          <w:rFonts w:asciiTheme="majorHAnsi" w:eastAsia="Times New Roman" w:hAnsiTheme="majorHAnsi" w:cstheme="majorHAnsi"/>
          <w:kern w:val="0"/>
          <w14:ligatures w14:val="none"/>
        </w:rPr>
        <w:t>Static</w:t>
      </w:r>
      <w:r w:rsidR="00DD2578">
        <w:rPr>
          <w:rFonts w:asciiTheme="majorHAnsi" w:eastAsia="Times New Roman" w:hAnsiTheme="majorHAnsi" w:cstheme="majorHAnsi"/>
          <w:kern w:val="0"/>
          <w14:ligatures w14:val="none"/>
        </w:rPr>
        <w:t xml:space="preserve"> (without flow)</w:t>
      </w:r>
      <w:r w:rsidRPr="00793E03">
        <w:rPr>
          <w:rFonts w:asciiTheme="majorHAnsi" w:eastAsia="Times New Roman" w:hAnsiTheme="majorHAnsi" w:cstheme="majorHAnsi"/>
          <w:kern w:val="0"/>
          <w14:ligatures w14:val="none"/>
        </w:rPr>
        <w:t>, one-dimensional columns were packed with silica sand and ZVI at a fixed concentration (</w:t>
      </w:r>
      <w:r>
        <w:rPr>
          <w:rFonts w:asciiTheme="majorHAnsi" w:eastAsia="Times New Roman" w:hAnsiTheme="majorHAnsi" w:cstheme="majorHAnsi"/>
          <w:kern w:val="0"/>
          <w14:ligatures w14:val="none"/>
        </w:rPr>
        <w:t>10 wt.% about ~</w:t>
      </w:r>
      <w:r w:rsidRPr="00793E03">
        <w:rPr>
          <w:rFonts w:asciiTheme="majorHAnsi" w:eastAsia="Times New Roman" w:hAnsiTheme="majorHAnsi" w:cstheme="majorHAnsi"/>
          <w:kern w:val="0"/>
          <w14:ligatures w14:val="none"/>
        </w:rPr>
        <w:t xml:space="preserve">3.6 vol.% ZVI). A high-purity ZVI material (Alfa </w:t>
      </w:r>
      <w:proofErr w:type="spellStart"/>
      <w:r w:rsidRPr="00793E03">
        <w:rPr>
          <w:rFonts w:asciiTheme="majorHAnsi" w:eastAsia="Times New Roman" w:hAnsiTheme="majorHAnsi" w:cstheme="majorHAnsi"/>
          <w:kern w:val="0"/>
          <w14:ligatures w14:val="none"/>
        </w:rPr>
        <w:t>Aesar</w:t>
      </w:r>
      <w:proofErr w:type="spellEnd"/>
      <w:r w:rsidRPr="00793E03">
        <w:rPr>
          <w:rFonts w:asciiTheme="majorHAnsi" w:eastAsia="Times New Roman" w:hAnsiTheme="majorHAnsi" w:cstheme="majorHAnsi"/>
          <w:kern w:val="0"/>
          <w14:ligatures w14:val="none"/>
        </w:rPr>
        <w:t>) was sieved into four particle size fractions, and a commercially available remediation-grade ZVI (</w:t>
      </w:r>
      <w:proofErr w:type="spellStart"/>
      <w:r w:rsidRPr="00793E03">
        <w:rPr>
          <w:rFonts w:asciiTheme="majorHAnsi" w:eastAsia="Times New Roman" w:hAnsiTheme="majorHAnsi" w:cstheme="majorHAnsi"/>
          <w:kern w:val="0"/>
          <w14:ligatures w14:val="none"/>
        </w:rPr>
        <w:t>Hepure</w:t>
      </w:r>
      <w:proofErr w:type="spellEnd"/>
      <w:r w:rsidRPr="00793E03">
        <w:rPr>
          <w:rFonts w:asciiTheme="majorHAnsi" w:eastAsia="Times New Roman" w:hAnsiTheme="majorHAnsi" w:cstheme="majorHAnsi"/>
          <w:kern w:val="0"/>
          <w14:ligatures w14:val="none"/>
        </w:rPr>
        <w:t>) was sieved to match the largest size fraction for direct comparison. Columns were saturated with a low-ionic-strength electrolyte</w:t>
      </w:r>
      <w:r w:rsidR="00DD2578">
        <w:rPr>
          <w:rFonts w:asciiTheme="majorHAnsi" w:eastAsia="Times New Roman" w:hAnsiTheme="majorHAnsi" w:cstheme="majorHAnsi"/>
          <w:kern w:val="0"/>
          <w14:ligatures w14:val="none"/>
        </w:rPr>
        <w:t xml:space="preserve"> (1 mM NaCl)</w:t>
      </w:r>
      <w:r w:rsidRPr="00793E03">
        <w:rPr>
          <w:rFonts w:asciiTheme="majorHAnsi" w:eastAsia="Times New Roman" w:hAnsiTheme="majorHAnsi" w:cstheme="majorHAnsi"/>
          <w:kern w:val="0"/>
          <w14:ligatures w14:val="none"/>
        </w:rPr>
        <w:t xml:space="preserve"> and monitored over two weeks to capture early-stage corrosion dynamics.</w:t>
      </w:r>
    </w:p>
    <w:p w14:paraId="5599505B" w14:textId="77777777" w:rsidR="00793E03" w:rsidRPr="0019008A" w:rsidRDefault="00793E03" w:rsidP="00793E03">
      <w:pPr>
        <w:pStyle w:val="Caption"/>
        <w:keepNext/>
        <w:spacing w:after="0" w:line="480" w:lineRule="auto"/>
        <w:rPr>
          <w:rFonts w:cs="Times New Roman"/>
          <w:i w:val="0"/>
          <w:iCs w:val="0"/>
          <w:color w:val="auto"/>
          <w:sz w:val="24"/>
          <w:szCs w:val="24"/>
        </w:rPr>
      </w:pPr>
      <w:bookmarkStart w:id="0" w:name="_Ref214557840"/>
      <w:bookmarkStart w:id="1" w:name="_Ref214557837"/>
      <w:bookmarkStart w:id="2" w:name="_Toc216424768"/>
      <w:r w:rsidRPr="00884AC3">
        <w:rPr>
          <w:rFonts w:cs="Times New Roman"/>
          <w:b/>
          <w:bCs/>
          <w:i w:val="0"/>
          <w:iCs w:val="0"/>
          <w:color w:val="auto"/>
          <w:sz w:val="24"/>
          <w:szCs w:val="24"/>
        </w:rPr>
        <w:lastRenderedPageBreak/>
        <w:t xml:space="preserve">Table </w:t>
      </w:r>
      <w:r w:rsidRPr="00884AC3">
        <w:rPr>
          <w:rFonts w:cs="Times New Roman"/>
          <w:b/>
          <w:bCs/>
          <w:i w:val="0"/>
          <w:iCs w:val="0"/>
          <w:color w:val="auto"/>
          <w:sz w:val="24"/>
          <w:szCs w:val="24"/>
        </w:rPr>
        <w:fldChar w:fldCharType="begin"/>
      </w:r>
      <w:r w:rsidRPr="00884AC3">
        <w:rPr>
          <w:rFonts w:cs="Times New Roman"/>
          <w:b/>
          <w:bCs/>
          <w:i w:val="0"/>
          <w:iCs w:val="0"/>
          <w:color w:val="auto"/>
          <w:sz w:val="24"/>
          <w:szCs w:val="24"/>
        </w:rPr>
        <w:instrText xml:space="preserve"> SEQ Table \* ARABIC </w:instrText>
      </w:r>
      <w:r w:rsidRPr="00884AC3">
        <w:rPr>
          <w:rFonts w:cs="Times New Roman"/>
          <w:b/>
          <w:bCs/>
          <w:i w:val="0"/>
          <w:iCs w:val="0"/>
          <w:color w:val="auto"/>
          <w:sz w:val="24"/>
          <w:szCs w:val="24"/>
        </w:rPr>
        <w:fldChar w:fldCharType="separate"/>
      </w:r>
      <w:r>
        <w:rPr>
          <w:rFonts w:cs="Times New Roman"/>
          <w:b/>
          <w:bCs/>
          <w:i w:val="0"/>
          <w:iCs w:val="0"/>
          <w:noProof/>
          <w:color w:val="auto"/>
          <w:sz w:val="24"/>
          <w:szCs w:val="24"/>
        </w:rPr>
        <w:t>1</w:t>
      </w:r>
      <w:r w:rsidRPr="00884AC3">
        <w:rPr>
          <w:rFonts w:cs="Times New Roman"/>
          <w:b/>
          <w:bCs/>
          <w:i w:val="0"/>
          <w:iCs w:val="0"/>
          <w:color w:val="auto"/>
          <w:sz w:val="24"/>
          <w:szCs w:val="24"/>
        </w:rPr>
        <w:fldChar w:fldCharType="end"/>
      </w:r>
      <w:bookmarkEnd w:id="0"/>
      <w:r w:rsidRPr="00884AC3">
        <w:rPr>
          <w:rFonts w:cs="Times New Roman"/>
          <w:b/>
          <w:bCs/>
          <w:i w:val="0"/>
          <w:iCs w:val="0"/>
          <w:color w:val="auto"/>
          <w:sz w:val="24"/>
          <w:szCs w:val="24"/>
        </w:rPr>
        <w:t>:</w:t>
      </w:r>
      <w:r w:rsidRPr="0019008A">
        <w:rPr>
          <w:rFonts w:cs="Times New Roman"/>
          <w:i w:val="0"/>
          <w:iCs w:val="0"/>
          <w:color w:val="auto"/>
          <w:sz w:val="24"/>
          <w:szCs w:val="24"/>
        </w:rPr>
        <w:t xml:space="preserve"> Experimental Matrix for ZVI experiments</w:t>
      </w:r>
      <w:bookmarkEnd w:id="1"/>
      <w:bookmarkEnd w:id="2"/>
    </w:p>
    <w:tbl>
      <w:tblPr>
        <w:tblW w:w="12511" w:type="dxa"/>
        <w:tblLayout w:type="fixed"/>
        <w:tblLook w:val="04A0" w:firstRow="1" w:lastRow="0" w:firstColumn="1" w:lastColumn="0" w:noHBand="0" w:noVBand="1"/>
      </w:tblPr>
      <w:tblGrid>
        <w:gridCol w:w="1787"/>
        <w:gridCol w:w="1787"/>
        <w:gridCol w:w="1943"/>
        <w:gridCol w:w="1632"/>
        <w:gridCol w:w="1787"/>
        <w:gridCol w:w="1787"/>
        <w:gridCol w:w="1788"/>
      </w:tblGrid>
      <w:tr w:rsidR="00793E03" w:rsidRPr="00D022D3" w14:paraId="54335B2D" w14:textId="77777777" w:rsidTr="007A78B8">
        <w:trPr>
          <w:trHeight w:val="677"/>
        </w:trPr>
        <w:tc>
          <w:tcPr>
            <w:tcW w:w="1787" w:type="dxa"/>
            <w:tcBorders>
              <w:top w:val="single" w:sz="4" w:space="0" w:color="auto"/>
              <w:left w:val="nil"/>
              <w:bottom w:val="single" w:sz="4" w:space="0" w:color="auto"/>
              <w:right w:val="nil"/>
            </w:tcBorders>
            <w:vAlign w:val="center"/>
            <w:hideMark/>
          </w:tcPr>
          <w:p w14:paraId="75AC858D"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Column #</w:t>
            </w:r>
          </w:p>
        </w:tc>
        <w:tc>
          <w:tcPr>
            <w:tcW w:w="1787" w:type="dxa"/>
            <w:tcBorders>
              <w:top w:val="single" w:sz="4" w:space="0" w:color="auto"/>
              <w:left w:val="nil"/>
              <w:bottom w:val="single" w:sz="4" w:space="0" w:color="auto"/>
              <w:right w:val="nil"/>
            </w:tcBorders>
            <w:vAlign w:val="center"/>
            <w:hideMark/>
          </w:tcPr>
          <w:p w14:paraId="768C71E6"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Flow Rate (mL/h)</w:t>
            </w:r>
          </w:p>
        </w:tc>
        <w:tc>
          <w:tcPr>
            <w:tcW w:w="1943" w:type="dxa"/>
            <w:tcBorders>
              <w:top w:val="single" w:sz="4" w:space="0" w:color="auto"/>
              <w:left w:val="nil"/>
              <w:bottom w:val="single" w:sz="4" w:space="0" w:color="auto"/>
              <w:right w:val="nil"/>
            </w:tcBorders>
            <w:vAlign w:val="center"/>
            <w:hideMark/>
          </w:tcPr>
          <w:p w14:paraId="04FA722E"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Preparation</w:t>
            </w:r>
          </w:p>
        </w:tc>
        <w:tc>
          <w:tcPr>
            <w:tcW w:w="1632" w:type="dxa"/>
            <w:tcBorders>
              <w:top w:val="single" w:sz="4" w:space="0" w:color="auto"/>
              <w:left w:val="nil"/>
              <w:bottom w:val="single" w:sz="4" w:space="0" w:color="auto"/>
              <w:right w:val="nil"/>
            </w:tcBorders>
            <w:vAlign w:val="center"/>
            <w:hideMark/>
          </w:tcPr>
          <w:p w14:paraId="16FAF84D"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ZVI Vol. %</w:t>
            </w:r>
          </w:p>
        </w:tc>
        <w:tc>
          <w:tcPr>
            <w:tcW w:w="1787" w:type="dxa"/>
            <w:tcBorders>
              <w:top w:val="single" w:sz="4" w:space="0" w:color="auto"/>
              <w:left w:val="nil"/>
              <w:bottom w:val="single" w:sz="4" w:space="0" w:color="auto"/>
              <w:right w:val="nil"/>
            </w:tcBorders>
            <w:vAlign w:val="center"/>
            <w:hideMark/>
          </w:tcPr>
          <w:p w14:paraId="35144E2E"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Given Size (</w:t>
            </w:r>
            <w:proofErr w:type="spellStart"/>
            <w:r>
              <w:rPr>
                <w:rFonts w:eastAsia="Times New Roman" w:cs="Times New Roman"/>
                <w:kern w:val="0"/>
                <w:sz w:val="22"/>
                <w:szCs w:val="22"/>
                <w14:ligatures w14:val="none"/>
              </w:rPr>
              <w:t>μm</w:t>
            </w:r>
            <w:proofErr w:type="spellEnd"/>
            <w:r w:rsidRPr="00D022D3">
              <w:rPr>
                <w:rFonts w:eastAsia="Times New Roman" w:cs="Times New Roman"/>
                <w:kern w:val="0"/>
                <w:sz w:val="22"/>
                <w:szCs w:val="22"/>
                <w14:ligatures w14:val="none"/>
              </w:rPr>
              <w:t>)</w:t>
            </w:r>
          </w:p>
        </w:tc>
        <w:tc>
          <w:tcPr>
            <w:tcW w:w="1787" w:type="dxa"/>
            <w:tcBorders>
              <w:top w:val="single" w:sz="4" w:space="0" w:color="auto"/>
              <w:left w:val="nil"/>
              <w:bottom w:val="single" w:sz="4" w:space="0" w:color="auto"/>
              <w:right w:val="nil"/>
            </w:tcBorders>
            <w:vAlign w:val="center"/>
            <w:hideMark/>
          </w:tcPr>
          <w:p w14:paraId="67081AFE"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Manufacturer</w:t>
            </w:r>
          </w:p>
        </w:tc>
        <w:tc>
          <w:tcPr>
            <w:tcW w:w="1788" w:type="dxa"/>
            <w:tcBorders>
              <w:top w:val="single" w:sz="4" w:space="0" w:color="auto"/>
              <w:left w:val="nil"/>
              <w:bottom w:val="single" w:sz="4" w:space="0" w:color="auto"/>
              <w:right w:val="nil"/>
            </w:tcBorders>
            <w:vAlign w:val="center"/>
            <w:hideMark/>
          </w:tcPr>
          <w:p w14:paraId="3D006BC6"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Experiment Length</w:t>
            </w:r>
          </w:p>
        </w:tc>
      </w:tr>
      <w:tr w:rsidR="00793E03" w:rsidRPr="00D022D3" w14:paraId="746D7632" w14:textId="77777777" w:rsidTr="007A78B8">
        <w:trPr>
          <w:trHeight w:val="338"/>
        </w:trPr>
        <w:tc>
          <w:tcPr>
            <w:tcW w:w="1787" w:type="dxa"/>
            <w:tcBorders>
              <w:top w:val="single" w:sz="4" w:space="0" w:color="auto"/>
              <w:left w:val="nil"/>
              <w:bottom w:val="nil"/>
              <w:right w:val="nil"/>
            </w:tcBorders>
            <w:vAlign w:val="center"/>
            <w:hideMark/>
          </w:tcPr>
          <w:p w14:paraId="513DBBCB"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Column 30</w:t>
            </w:r>
          </w:p>
        </w:tc>
        <w:tc>
          <w:tcPr>
            <w:tcW w:w="1787" w:type="dxa"/>
            <w:tcBorders>
              <w:top w:val="single" w:sz="4" w:space="0" w:color="auto"/>
              <w:left w:val="nil"/>
              <w:bottom w:val="nil"/>
              <w:right w:val="nil"/>
            </w:tcBorders>
            <w:vAlign w:val="center"/>
            <w:hideMark/>
          </w:tcPr>
          <w:p w14:paraId="485A2A8B"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0</w:t>
            </w:r>
          </w:p>
        </w:tc>
        <w:tc>
          <w:tcPr>
            <w:tcW w:w="1943" w:type="dxa"/>
            <w:tcBorders>
              <w:top w:val="single" w:sz="4" w:space="0" w:color="auto"/>
              <w:left w:val="nil"/>
              <w:bottom w:val="nil"/>
              <w:right w:val="nil"/>
            </w:tcBorders>
            <w:vAlign w:val="center"/>
            <w:hideMark/>
          </w:tcPr>
          <w:p w14:paraId="461F017E"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Bulk, 20-mesh</w:t>
            </w:r>
          </w:p>
        </w:tc>
        <w:tc>
          <w:tcPr>
            <w:tcW w:w="1632" w:type="dxa"/>
            <w:tcBorders>
              <w:top w:val="single" w:sz="4" w:space="0" w:color="auto"/>
              <w:left w:val="nil"/>
              <w:bottom w:val="nil"/>
              <w:right w:val="nil"/>
            </w:tcBorders>
            <w:vAlign w:val="center"/>
            <w:hideMark/>
          </w:tcPr>
          <w:p w14:paraId="2E89274D"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NM</w:t>
            </w:r>
          </w:p>
        </w:tc>
        <w:tc>
          <w:tcPr>
            <w:tcW w:w="1787" w:type="dxa"/>
            <w:tcBorders>
              <w:top w:val="single" w:sz="4" w:space="0" w:color="auto"/>
              <w:left w:val="nil"/>
              <w:bottom w:val="nil"/>
              <w:right w:val="nil"/>
            </w:tcBorders>
            <w:vAlign w:val="center"/>
            <w:hideMark/>
          </w:tcPr>
          <w:p w14:paraId="5EB5775C"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841</w:t>
            </w:r>
          </w:p>
        </w:tc>
        <w:tc>
          <w:tcPr>
            <w:tcW w:w="1787" w:type="dxa"/>
            <w:tcBorders>
              <w:top w:val="single" w:sz="4" w:space="0" w:color="auto"/>
              <w:left w:val="nil"/>
              <w:bottom w:val="nil"/>
              <w:right w:val="nil"/>
            </w:tcBorders>
            <w:vAlign w:val="center"/>
            <w:hideMark/>
          </w:tcPr>
          <w:p w14:paraId="72B0DBB6"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Alfa </w:t>
            </w:r>
            <w:proofErr w:type="spellStart"/>
            <w:r w:rsidRPr="00D022D3">
              <w:rPr>
                <w:rFonts w:eastAsia="Times New Roman" w:cs="Times New Roman"/>
                <w:kern w:val="0"/>
                <w:sz w:val="22"/>
                <w:szCs w:val="22"/>
                <w14:ligatures w14:val="none"/>
              </w:rPr>
              <w:t>Aesar</w:t>
            </w:r>
            <w:proofErr w:type="spellEnd"/>
          </w:p>
        </w:tc>
        <w:tc>
          <w:tcPr>
            <w:tcW w:w="1788" w:type="dxa"/>
            <w:tcBorders>
              <w:top w:val="single" w:sz="4" w:space="0" w:color="auto"/>
              <w:left w:val="nil"/>
              <w:bottom w:val="nil"/>
              <w:right w:val="nil"/>
            </w:tcBorders>
            <w:vAlign w:val="center"/>
            <w:hideMark/>
          </w:tcPr>
          <w:p w14:paraId="05E9C66A"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 weeks</w:t>
            </w:r>
          </w:p>
        </w:tc>
      </w:tr>
      <w:tr w:rsidR="00793E03" w:rsidRPr="00D022D3" w14:paraId="721E3B1B" w14:textId="77777777" w:rsidTr="007A78B8">
        <w:trPr>
          <w:trHeight w:val="338"/>
        </w:trPr>
        <w:tc>
          <w:tcPr>
            <w:tcW w:w="1787" w:type="dxa"/>
            <w:tcBorders>
              <w:top w:val="nil"/>
              <w:left w:val="nil"/>
              <w:bottom w:val="nil"/>
              <w:right w:val="nil"/>
            </w:tcBorders>
            <w:vAlign w:val="center"/>
            <w:hideMark/>
          </w:tcPr>
          <w:p w14:paraId="265C4404"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Column 31</w:t>
            </w:r>
          </w:p>
        </w:tc>
        <w:tc>
          <w:tcPr>
            <w:tcW w:w="1787" w:type="dxa"/>
            <w:tcBorders>
              <w:top w:val="nil"/>
              <w:left w:val="nil"/>
              <w:bottom w:val="nil"/>
              <w:right w:val="nil"/>
            </w:tcBorders>
            <w:vAlign w:val="center"/>
            <w:hideMark/>
          </w:tcPr>
          <w:p w14:paraId="3CAA1DDA"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0</w:t>
            </w:r>
          </w:p>
        </w:tc>
        <w:tc>
          <w:tcPr>
            <w:tcW w:w="1943" w:type="dxa"/>
            <w:tcBorders>
              <w:top w:val="nil"/>
              <w:left w:val="nil"/>
              <w:bottom w:val="nil"/>
              <w:right w:val="nil"/>
            </w:tcBorders>
            <w:vAlign w:val="center"/>
            <w:hideMark/>
          </w:tcPr>
          <w:p w14:paraId="65480A36"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Sieved 20-mesh</w:t>
            </w:r>
          </w:p>
        </w:tc>
        <w:tc>
          <w:tcPr>
            <w:tcW w:w="1632" w:type="dxa"/>
            <w:tcBorders>
              <w:top w:val="nil"/>
              <w:left w:val="nil"/>
              <w:bottom w:val="nil"/>
              <w:right w:val="nil"/>
            </w:tcBorders>
            <w:vAlign w:val="center"/>
            <w:hideMark/>
          </w:tcPr>
          <w:p w14:paraId="17BCA78A"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442F9C">
              <w:rPr>
                <w:rFonts w:eastAsia="Times New Roman" w:cs="Times New Roman"/>
                <w:kern w:val="0"/>
                <w:sz w:val="22"/>
                <w:szCs w:val="22"/>
                <w14:ligatures w14:val="none"/>
              </w:rPr>
              <w:t>0.0377</w:t>
            </w:r>
          </w:p>
        </w:tc>
        <w:tc>
          <w:tcPr>
            <w:tcW w:w="1787" w:type="dxa"/>
            <w:tcBorders>
              <w:top w:val="nil"/>
              <w:left w:val="nil"/>
              <w:bottom w:val="nil"/>
              <w:right w:val="nil"/>
            </w:tcBorders>
            <w:vAlign w:val="center"/>
            <w:hideMark/>
          </w:tcPr>
          <w:p w14:paraId="3B741E84"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75-150</w:t>
            </w:r>
          </w:p>
        </w:tc>
        <w:tc>
          <w:tcPr>
            <w:tcW w:w="1787" w:type="dxa"/>
            <w:tcBorders>
              <w:top w:val="nil"/>
              <w:left w:val="nil"/>
              <w:bottom w:val="nil"/>
              <w:right w:val="nil"/>
            </w:tcBorders>
            <w:vAlign w:val="center"/>
            <w:hideMark/>
          </w:tcPr>
          <w:p w14:paraId="70C38F6F"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Alfa </w:t>
            </w:r>
            <w:proofErr w:type="spellStart"/>
            <w:r w:rsidRPr="00D022D3">
              <w:rPr>
                <w:rFonts w:eastAsia="Times New Roman" w:cs="Times New Roman"/>
                <w:kern w:val="0"/>
                <w:sz w:val="22"/>
                <w:szCs w:val="22"/>
                <w14:ligatures w14:val="none"/>
              </w:rPr>
              <w:t>Aesar</w:t>
            </w:r>
            <w:proofErr w:type="spellEnd"/>
          </w:p>
        </w:tc>
        <w:tc>
          <w:tcPr>
            <w:tcW w:w="1788" w:type="dxa"/>
            <w:tcBorders>
              <w:top w:val="nil"/>
              <w:left w:val="nil"/>
              <w:bottom w:val="nil"/>
              <w:right w:val="nil"/>
            </w:tcBorders>
            <w:vAlign w:val="center"/>
            <w:hideMark/>
          </w:tcPr>
          <w:p w14:paraId="19627B3B"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 weeks</w:t>
            </w:r>
          </w:p>
        </w:tc>
      </w:tr>
      <w:tr w:rsidR="00793E03" w:rsidRPr="00D022D3" w14:paraId="12B924BA" w14:textId="77777777" w:rsidTr="007A78B8">
        <w:trPr>
          <w:trHeight w:val="338"/>
        </w:trPr>
        <w:tc>
          <w:tcPr>
            <w:tcW w:w="1787" w:type="dxa"/>
            <w:tcBorders>
              <w:top w:val="nil"/>
              <w:left w:val="nil"/>
              <w:bottom w:val="nil"/>
              <w:right w:val="nil"/>
            </w:tcBorders>
            <w:vAlign w:val="center"/>
            <w:hideMark/>
          </w:tcPr>
          <w:p w14:paraId="0CCE6F40"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Column 32</w:t>
            </w:r>
          </w:p>
        </w:tc>
        <w:tc>
          <w:tcPr>
            <w:tcW w:w="1787" w:type="dxa"/>
            <w:tcBorders>
              <w:top w:val="nil"/>
              <w:left w:val="nil"/>
              <w:bottom w:val="nil"/>
              <w:right w:val="nil"/>
            </w:tcBorders>
            <w:vAlign w:val="center"/>
            <w:hideMark/>
          </w:tcPr>
          <w:p w14:paraId="668EA810"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0</w:t>
            </w:r>
          </w:p>
        </w:tc>
        <w:tc>
          <w:tcPr>
            <w:tcW w:w="1943" w:type="dxa"/>
            <w:tcBorders>
              <w:top w:val="nil"/>
              <w:left w:val="nil"/>
              <w:bottom w:val="nil"/>
              <w:right w:val="nil"/>
            </w:tcBorders>
            <w:vAlign w:val="center"/>
            <w:hideMark/>
          </w:tcPr>
          <w:p w14:paraId="09D26866"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Sieved 20-mesh</w:t>
            </w:r>
          </w:p>
        </w:tc>
        <w:tc>
          <w:tcPr>
            <w:tcW w:w="1632" w:type="dxa"/>
            <w:tcBorders>
              <w:top w:val="nil"/>
              <w:left w:val="nil"/>
              <w:bottom w:val="nil"/>
              <w:right w:val="nil"/>
            </w:tcBorders>
            <w:vAlign w:val="center"/>
            <w:hideMark/>
          </w:tcPr>
          <w:p w14:paraId="67FBCAD3"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NM</w:t>
            </w:r>
          </w:p>
        </w:tc>
        <w:tc>
          <w:tcPr>
            <w:tcW w:w="1787" w:type="dxa"/>
            <w:tcBorders>
              <w:top w:val="nil"/>
              <w:left w:val="nil"/>
              <w:bottom w:val="nil"/>
              <w:right w:val="nil"/>
            </w:tcBorders>
            <w:vAlign w:val="center"/>
            <w:hideMark/>
          </w:tcPr>
          <w:p w14:paraId="41A0DC37"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62-75</w:t>
            </w:r>
          </w:p>
        </w:tc>
        <w:tc>
          <w:tcPr>
            <w:tcW w:w="1787" w:type="dxa"/>
            <w:tcBorders>
              <w:top w:val="nil"/>
              <w:left w:val="nil"/>
              <w:bottom w:val="nil"/>
              <w:right w:val="nil"/>
            </w:tcBorders>
            <w:vAlign w:val="center"/>
            <w:hideMark/>
          </w:tcPr>
          <w:p w14:paraId="532D0278"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Alfa </w:t>
            </w:r>
            <w:proofErr w:type="spellStart"/>
            <w:r w:rsidRPr="00D022D3">
              <w:rPr>
                <w:rFonts w:eastAsia="Times New Roman" w:cs="Times New Roman"/>
                <w:kern w:val="0"/>
                <w:sz w:val="22"/>
                <w:szCs w:val="22"/>
                <w14:ligatures w14:val="none"/>
              </w:rPr>
              <w:t>Aesar</w:t>
            </w:r>
            <w:proofErr w:type="spellEnd"/>
          </w:p>
        </w:tc>
        <w:tc>
          <w:tcPr>
            <w:tcW w:w="1788" w:type="dxa"/>
            <w:tcBorders>
              <w:top w:val="nil"/>
              <w:left w:val="nil"/>
              <w:bottom w:val="nil"/>
              <w:right w:val="nil"/>
            </w:tcBorders>
            <w:vAlign w:val="center"/>
            <w:hideMark/>
          </w:tcPr>
          <w:p w14:paraId="00C4A34B"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 weeks</w:t>
            </w:r>
          </w:p>
        </w:tc>
      </w:tr>
      <w:tr w:rsidR="00793E03" w:rsidRPr="00D022D3" w14:paraId="46F24905" w14:textId="77777777" w:rsidTr="007A78B8">
        <w:trPr>
          <w:trHeight w:val="338"/>
        </w:trPr>
        <w:tc>
          <w:tcPr>
            <w:tcW w:w="1787" w:type="dxa"/>
            <w:tcBorders>
              <w:top w:val="nil"/>
              <w:left w:val="nil"/>
              <w:bottom w:val="nil"/>
              <w:right w:val="nil"/>
            </w:tcBorders>
            <w:vAlign w:val="center"/>
            <w:hideMark/>
          </w:tcPr>
          <w:p w14:paraId="63C2BB0D"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Column 33</w:t>
            </w:r>
          </w:p>
        </w:tc>
        <w:tc>
          <w:tcPr>
            <w:tcW w:w="1787" w:type="dxa"/>
            <w:tcBorders>
              <w:top w:val="nil"/>
              <w:left w:val="nil"/>
              <w:bottom w:val="nil"/>
              <w:right w:val="nil"/>
            </w:tcBorders>
            <w:vAlign w:val="center"/>
            <w:hideMark/>
          </w:tcPr>
          <w:p w14:paraId="408ED201"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0</w:t>
            </w:r>
          </w:p>
        </w:tc>
        <w:tc>
          <w:tcPr>
            <w:tcW w:w="1943" w:type="dxa"/>
            <w:tcBorders>
              <w:top w:val="nil"/>
              <w:left w:val="nil"/>
              <w:bottom w:val="nil"/>
              <w:right w:val="nil"/>
            </w:tcBorders>
            <w:vAlign w:val="center"/>
            <w:hideMark/>
          </w:tcPr>
          <w:p w14:paraId="421B3E4A"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Sieved 20-mesh</w:t>
            </w:r>
          </w:p>
        </w:tc>
        <w:tc>
          <w:tcPr>
            <w:tcW w:w="1632" w:type="dxa"/>
            <w:tcBorders>
              <w:top w:val="nil"/>
              <w:left w:val="nil"/>
              <w:bottom w:val="nil"/>
              <w:right w:val="nil"/>
            </w:tcBorders>
            <w:vAlign w:val="center"/>
            <w:hideMark/>
          </w:tcPr>
          <w:p w14:paraId="2A317320"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NM</w:t>
            </w:r>
          </w:p>
        </w:tc>
        <w:tc>
          <w:tcPr>
            <w:tcW w:w="1787" w:type="dxa"/>
            <w:tcBorders>
              <w:top w:val="nil"/>
              <w:left w:val="nil"/>
              <w:bottom w:val="nil"/>
              <w:right w:val="nil"/>
            </w:tcBorders>
            <w:vAlign w:val="center"/>
            <w:hideMark/>
          </w:tcPr>
          <w:p w14:paraId="461A6F16"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53-60</w:t>
            </w:r>
          </w:p>
        </w:tc>
        <w:tc>
          <w:tcPr>
            <w:tcW w:w="1787" w:type="dxa"/>
            <w:tcBorders>
              <w:top w:val="nil"/>
              <w:left w:val="nil"/>
              <w:bottom w:val="nil"/>
              <w:right w:val="nil"/>
            </w:tcBorders>
            <w:vAlign w:val="center"/>
            <w:hideMark/>
          </w:tcPr>
          <w:p w14:paraId="7F247E5F"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Alfa </w:t>
            </w:r>
            <w:proofErr w:type="spellStart"/>
            <w:r w:rsidRPr="00D022D3">
              <w:rPr>
                <w:rFonts w:eastAsia="Times New Roman" w:cs="Times New Roman"/>
                <w:kern w:val="0"/>
                <w:sz w:val="22"/>
                <w:szCs w:val="22"/>
                <w14:ligatures w14:val="none"/>
              </w:rPr>
              <w:t>Aesar</w:t>
            </w:r>
            <w:proofErr w:type="spellEnd"/>
          </w:p>
        </w:tc>
        <w:tc>
          <w:tcPr>
            <w:tcW w:w="1788" w:type="dxa"/>
            <w:tcBorders>
              <w:top w:val="nil"/>
              <w:left w:val="nil"/>
              <w:bottom w:val="nil"/>
              <w:right w:val="nil"/>
            </w:tcBorders>
            <w:vAlign w:val="center"/>
            <w:hideMark/>
          </w:tcPr>
          <w:p w14:paraId="36110B7B"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 weeks</w:t>
            </w:r>
          </w:p>
        </w:tc>
      </w:tr>
      <w:tr w:rsidR="00793E03" w:rsidRPr="00D022D3" w14:paraId="7036B2AD" w14:textId="77777777" w:rsidTr="007A78B8">
        <w:trPr>
          <w:trHeight w:val="338"/>
        </w:trPr>
        <w:tc>
          <w:tcPr>
            <w:tcW w:w="1787" w:type="dxa"/>
            <w:tcBorders>
              <w:top w:val="nil"/>
              <w:left w:val="nil"/>
              <w:bottom w:val="nil"/>
              <w:right w:val="nil"/>
            </w:tcBorders>
            <w:vAlign w:val="center"/>
            <w:hideMark/>
          </w:tcPr>
          <w:p w14:paraId="57E82EC4"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Column 34</w:t>
            </w:r>
          </w:p>
        </w:tc>
        <w:tc>
          <w:tcPr>
            <w:tcW w:w="1787" w:type="dxa"/>
            <w:tcBorders>
              <w:top w:val="nil"/>
              <w:left w:val="nil"/>
              <w:bottom w:val="nil"/>
              <w:right w:val="nil"/>
            </w:tcBorders>
            <w:vAlign w:val="center"/>
            <w:hideMark/>
          </w:tcPr>
          <w:p w14:paraId="0156E8E7"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0</w:t>
            </w:r>
          </w:p>
        </w:tc>
        <w:tc>
          <w:tcPr>
            <w:tcW w:w="1943" w:type="dxa"/>
            <w:tcBorders>
              <w:top w:val="nil"/>
              <w:left w:val="nil"/>
              <w:bottom w:val="nil"/>
              <w:right w:val="nil"/>
            </w:tcBorders>
            <w:vAlign w:val="center"/>
            <w:hideMark/>
          </w:tcPr>
          <w:p w14:paraId="7E319545"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Sieved 20-mesh</w:t>
            </w:r>
          </w:p>
        </w:tc>
        <w:tc>
          <w:tcPr>
            <w:tcW w:w="1632" w:type="dxa"/>
            <w:tcBorders>
              <w:top w:val="nil"/>
              <w:left w:val="nil"/>
              <w:bottom w:val="nil"/>
              <w:right w:val="nil"/>
            </w:tcBorders>
            <w:vAlign w:val="center"/>
            <w:hideMark/>
          </w:tcPr>
          <w:p w14:paraId="4F38707A"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442F9C">
              <w:rPr>
                <w:rFonts w:eastAsia="Times New Roman" w:cs="Times New Roman"/>
                <w:kern w:val="0"/>
                <w:sz w:val="22"/>
                <w:szCs w:val="22"/>
                <w14:ligatures w14:val="none"/>
              </w:rPr>
              <w:t>0.0373</w:t>
            </w:r>
          </w:p>
        </w:tc>
        <w:tc>
          <w:tcPr>
            <w:tcW w:w="1787" w:type="dxa"/>
            <w:tcBorders>
              <w:top w:val="nil"/>
              <w:left w:val="nil"/>
              <w:bottom w:val="nil"/>
              <w:right w:val="nil"/>
            </w:tcBorders>
            <w:vAlign w:val="center"/>
            <w:hideMark/>
          </w:tcPr>
          <w:p w14:paraId="433FD9A7"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&lt;53</w:t>
            </w:r>
          </w:p>
        </w:tc>
        <w:tc>
          <w:tcPr>
            <w:tcW w:w="1787" w:type="dxa"/>
            <w:tcBorders>
              <w:top w:val="nil"/>
              <w:left w:val="nil"/>
              <w:bottom w:val="nil"/>
              <w:right w:val="nil"/>
            </w:tcBorders>
            <w:vAlign w:val="center"/>
            <w:hideMark/>
          </w:tcPr>
          <w:p w14:paraId="038DB3A3"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Alfa </w:t>
            </w:r>
            <w:proofErr w:type="spellStart"/>
            <w:r w:rsidRPr="00D022D3">
              <w:rPr>
                <w:rFonts w:eastAsia="Times New Roman" w:cs="Times New Roman"/>
                <w:kern w:val="0"/>
                <w:sz w:val="22"/>
                <w:szCs w:val="22"/>
                <w14:ligatures w14:val="none"/>
              </w:rPr>
              <w:t>Aesar</w:t>
            </w:r>
            <w:proofErr w:type="spellEnd"/>
          </w:p>
        </w:tc>
        <w:tc>
          <w:tcPr>
            <w:tcW w:w="1788" w:type="dxa"/>
            <w:tcBorders>
              <w:top w:val="nil"/>
              <w:left w:val="nil"/>
              <w:bottom w:val="nil"/>
              <w:right w:val="nil"/>
            </w:tcBorders>
            <w:vAlign w:val="center"/>
            <w:hideMark/>
          </w:tcPr>
          <w:p w14:paraId="6E313121"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 weeks</w:t>
            </w:r>
          </w:p>
        </w:tc>
      </w:tr>
      <w:tr w:rsidR="00793E03" w:rsidRPr="00D022D3" w14:paraId="65FADEF4" w14:textId="77777777" w:rsidTr="007A78B8">
        <w:trPr>
          <w:trHeight w:val="338"/>
        </w:trPr>
        <w:tc>
          <w:tcPr>
            <w:tcW w:w="1787" w:type="dxa"/>
            <w:tcBorders>
              <w:top w:val="nil"/>
              <w:left w:val="nil"/>
              <w:bottom w:val="nil"/>
              <w:right w:val="nil"/>
            </w:tcBorders>
            <w:vAlign w:val="center"/>
            <w:hideMark/>
          </w:tcPr>
          <w:p w14:paraId="7D718211"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Column 15</w:t>
            </w:r>
          </w:p>
        </w:tc>
        <w:tc>
          <w:tcPr>
            <w:tcW w:w="1787" w:type="dxa"/>
            <w:tcBorders>
              <w:top w:val="nil"/>
              <w:left w:val="nil"/>
              <w:bottom w:val="nil"/>
              <w:right w:val="nil"/>
            </w:tcBorders>
            <w:vAlign w:val="center"/>
            <w:hideMark/>
          </w:tcPr>
          <w:p w14:paraId="0697C3AF"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0</w:t>
            </w:r>
          </w:p>
        </w:tc>
        <w:tc>
          <w:tcPr>
            <w:tcW w:w="1943" w:type="dxa"/>
            <w:tcBorders>
              <w:top w:val="nil"/>
              <w:left w:val="nil"/>
              <w:bottom w:val="nil"/>
              <w:right w:val="nil"/>
            </w:tcBorders>
            <w:vAlign w:val="center"/>
            <w:hideMark/>
          </w:tcPr>
          <w:p w14:paraId="073ACDA5"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Sieved, 325 </w:t>
            </w:r>
            <w:proofErr w:type="gramStart"/>
            <w:r w:rsidRPr="00D022D3">
              <w:rPr>
                <w:rFonts w:eastAsia="Times New Roman" w:cs="Times New Roman"/>
                <w:kern w:val="0"/>
                <w:sz w:val="22"/>
                <w:szCs w:val="22"/>
                <w14:ligatures w14:val="none"/>
              </w:rPr>
              <w:t>micron</w:t>
            </w:r>
            <w:proofErr w:type="gramEnd"/>
          </w:p>
        </w:tc>
        <w:tc>
          <w:tcPr>
            <w:tcW w:w="1632" w:type="dxa"/>
            <w:tcBorders>
              <w:top w:val="nil"/>
              <w:left w:val="nil"/>
              <w:bottom w:val="nil"/>
              <w:right w:val="nil"/>
            </w:tcBorders>
            <w:vAlign w:val="center"/>
            <w:hideMark/>
          </w:tcPr>
          <w:p w14:paraId="75EFE7D6"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442F9C">
              <w:rPr>
                <w:rFonts w:eastAsia="Times New Roman" w:cs="Times New Roman"/>
                <w:kern w:val="0"/>
                <w:sz w:val="22"/>
                <w:szCs w:val="22"/>
                <w14:ligatures w14:val="none"/>
              </w:rPr>
              <w:t>0.04</w:t>
            </w:r>
          </w:p>
        </w:tc>
        <w:tc>
          <w:tcPr>
            <w:tcW w:w="1787" w:type="dxa"/>
            <w:tcBorders>
              <w:top w:val="nil"/>
              <w:left w:val="nil"/>
              <w:bottom w:val="nil"/>
              <w:right w:val="nil"/>
            </w:tcBorders>
            <w:vAlign w:val="center"/>
            <w:hideMark/>
          </w:tcPr>
          <w:p w14:paraId="0F9E0617"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75-150</w:t>
            </w:r>
          </w:p>
        </w:tc>
        <w:tc>
          <w:tcPr>
            <w:tcW w:w="1787" w:type="dxa"/>
            <w:tcBorders>
              <w:top w:val="nil"/>
              <w:left w:val="nil"/>
              <w:bottom w:val="nil"/>
              <w:right w:val="nil"/>
            </w:tcBorders>
            <w:vAlign w:val="center"/>
            <w:hideMark/>
          </w:tcPr>
          <w:p w14:paraId="3C5C51E2" w14:textId="77777777" w:rsidR="00793E03" w:rsidRPr="00D022D3" w:rsidRDefault="00793E03" w:rsidP="007A78B8">
            <w:pPr>
              <w:spacing w:after="0" w:line="240" w:lineRule="auto"/>
              <w:jc w:val="center"/>
              <w:rPr>
                <w:rFonts w:eastAsia="Times New Roman" w:cs="Times New Roman"/>
                <w:kern w:val="0"/>
                <w:sz w:val="22"/>
                <w:szCs w:val="22"/>
                <w14:ligatures w14:val="none"/>
              </w:rPr>
            </w:pPr>
            <w:proofErr w:type="spellStart"/>
            <w:r w:rsidRPr="00D022D3">
              <w:rPr>
                <w:rFonts w:eastAsia="Times New Roman" w:cs="Times New Roman"/>
                <w:kern w:val="0"/>
                <w:sz w:val="22"/>
                <w:szCs w:val="22"/>
                <w14:ligatures w14:val="none"/>
              </w:rPr>
              <w:t>Hepure</w:t>
            </w:r>
            <w:proofErr w:type="spellEnd"/>
          </w:p>
        </w:tc>
        <w:tc>
          <w:tcPr>
            <w:tcW w:w="1788" w:type="dxa"/>
            <w:tcBorders>
              <w:top w:val="nil"/>
              <w:left w:val="nil"/>
              <w:bottom w:val="nil"/>
              <w:right w:val="nil"/>
            </w:tcBorders>
            <w:vAlign w:val="center"/>
            <w:hideMark/>
          </w:tcPr>
          <w:p w14:paraId="3CBE276A"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 weeks</w:t>
            </w:r>
          </w:p>
        </w:tc>
      </w:tr>
      <w:tr w:rsidR="00793E03" w:rsidRPr="00D022D3" w14:paraId="5055D20A" w14:textId="77777777" w:rsidTr="007A78B8">
        <w:trPr>
          <w:trHeight w:val="338"/>
        </w:trPr>
        <w:tc>
          <w:tcPr>
            <w:tcW w:w="1787" w:type="dxa"/>
            <w:tcBorders>
              <w:top w:val="nil"/>
              <w:left w:val="nil"/>
              <w:bottom w:val="nil"/>
              <w:right w:val="nil"/>
            </w:tcBorders>
            <w:noWrap/>
            <w:vAlign w:val="center"/>
            <w:hideMark/>
          </w:tcPr>
          <w:p w14:paraId="6448217D" w14:textId="2559BF12"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w:t>
            </w:r>
            <w:r>
              <w:rPr>
                <w:rFonts w:eastAsia="Times New Roman" w:cs="Times New Roman"/>
                <w:kern w:val="0"/>
                <w:sz w:val="22"/>
                <w:szCs w:val="22"/>
                <w14:ligatures w14:val="none"/>
              </w:rPr>
              <w:t>n</w:t>
            </w:r>
            <w:r w:rsidRPr="00D022D3">
              <w:rPr>
                <w:rFonts w:eastAsia="Times New Roman" w:cs="Times New Roman"/>
                <w:kern w:val="0"/>
                <w:sz w:val="22"/>
                <w:szCs w:val="22"/>
                <w14:ligatures w14:val="none"/>
              </w:rPr>
              <w:t xml:space="preserve"> 103-1</w:t>
            </w:r>
          </w:p>
        </w:tc>
        <w:tc>
          <w:tcPr>
            <w:tcW w:w="1787" w:type="dxa"/>
            <w:tcBorders>
              <w:top w:val="nil"/>
              <w:left w:val="nil"/>
              <w:bottom w:val="nil"/>
              <w:right w:val="nil"/>
            </w:tcBorders>
            <w:noWrap/>
            <w:vAlign w:val="center"/>
            <w:hideMark/>
          </w:tcPr>
          <w:p w14:paraId="3E399300"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2.5</w:t>
            </w:r>
          </w:p>
        </w:tc>
        <w:tc>
          <w:tcPr>
            <w:tcW w:w="1943" w:type="dxa"/>
            <w:tcBorders>
              <w:top w:val="nil"/>
              <w:left w:val="nil"/>
              <w:bottom w:val="nil"/>
              <w:right w:val="nil"/>
            </w:tcBorders>
            <w:vAlign w:val="center"/>
            <w:hideMark/>
          </w:tcPr>
          <w:p w14:paraId="41C931A1"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Bulk, 20-mesh</w:t>
            </w:r>
          </w:p>
        </w:tc>
        <w:tc>
          <w:tcPr>
            <w:tcW w:w="1632" w:type="dxa"/>
            <w:tcBorders>
              <w:top w:val="nil"/>
              <w:left w:val="nil"/>
              <w:bottom w:val="nil"/>
              <w:right w:val="nil"/>
            </w:tcBorders>
            <w:noWrap/>
            <w:vAlign w:val="center"/>
            <w:hideMark/>
          </w:tcPr>
          <w:p w14:paraId="5E81C407"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NM</w:t>
            </w:r>
          </w:p>
        </w:tc>
        <w:tc>
          <w:tcPr>
            <w:tcW w:w="1787" w:type="dxa"/>
            <w:tcBorders>
              <w:top w:val="nil"/>
              <w:left w:val="nil"/>
              <w:bottom w:val="nil"/>
              <w:right w:val="nil"/>
            </w:tcBorders>
            <w:noWrap/>
            <w:vAlign w:val="center"/>
            <w:hideMark/>
          </w:tcPr>
          <w:p w14:paraId="334A38E1"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20</w:t>
            </w:r>
          </w:p>
        </w:tc>
        <w:tc>
          <w:tcPr>
            <w:tcW w:w="1787" w:type="dxa"/>
            <w:tcBorders>
              <w:top w:val="nil"/>
              <w:left w:val="nil"/>
              <w:bottom w:val="nil"/>
              <w:right w:val="nil"/>
            </w:tcBorders>
            <w:noWrap/>
            <w:vAlign w:val="center"/>
            <w:hideMark/>
          </w:tcPr>
          <w:p w14:paraId="4174DEA3"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Alfa </w:t>
            </w:r>
            <w:proofErr w:type="spellStart"/>
            <w:r w:rsidRPr="00D022D3">
              <w:rPr>
                <w:rFonts w:eastAsia="Times New Roman" w:cs="Times New Roman"/>
                <w:kern w:val="0"/>
                <w:sz w:val="22"/>
                <w:szCs w:val="22"/>
                <w14:ligatures w14:val="none"/>
              </w:rPr>
              <w:t>Aesar</w:t>
            </w:r>
            <w:proofErr w:type="spellEnd"/>
          </w:p>
        </w:tc>
        <w:tc>
          <w:tcPr>
            <w:tcW w:w="1788" w:type="dxa"/>
            <w:tcBorders>
              <w:top w:val="nil"/>
              <w:left w:val="nil"/>
              <w:bottom w:val="nil"/>
              <w:right w:val="nil"/>
            </w:tcBorders>
            <w:noWrap/>
            <w:vAlign w:val="center"/>
            <w:hideMark/>
          </w:tcPr>
          <w:p w14:paraId="3B8DF752"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 months</w:t>
            </w:r>
          </w:p>
        </w:tc>
      </w:tr>
      <w:tr w:rsidR="00793E03" w:rsidRPr="00D022D3" w14:paraId="4FE8B197" w14:textId="77777777" w:rsidTr="007A78B8">
        <w:trPr>
          <w:trHeight w:val="338"/>
        </w:trPr>
        <w:tc>
          <w:tcPr>
            <w:tcW w:w="1787" w:type="dxa"/>
            <w:tcBorders>
              <w:top w:val="nil"/>
              <w:left w:val="nil"/>
              <w:bottom w:val="nil"/>
              <w:right w:val="nil"/>
            </w:tcBorders>
            <w:noWrap/>
            <w:vAlign w:val="center"/>
            <w:hideMark/>
          </w:tcPr>
          <w:p w14:paraId="0767ADE4" w14:textId="2687B6B6"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w:t>
            </w:r>
            <w:r>
              <w:rPr>
                <w:rFonts w:eastAsia="Times New Roman" w:cs="Times New Roman"/>
                <w:kern w:val="0"/>
                <w:sz w:val="22"/>
                <w:szCs w:val="22"/>
                <w14:ligatures w14:val="none"/>
              </w:rPr>
              <w:t>n</w:t>
            </w:r>
            <w:r w:rsidRPr="00D022D3">
              <w:rPr>
                <w:rFonts w:eastAsia="Times New Roman" w:cs="Times New Roman"/>
                <w:kern w:val="0"/>
                <w:sz w:val="22"/>
                <w:szCs w:val="22"/>
                <w14:ligatures w14:val="none"/>
              </w:rPr>
              <w:t xml:space="preserve"> 103-2</w:t>
            </w:r>
          </w:p>
        </w:tc>
        <w:tc>
          <w:tcPr>
            <w:tcW w:w="1787" w:type="dxa"/>
            <w:tcBorders>
              <w:top w:val="nil"/>
              <w:left w:val="nil"/>
              <w:bottom w:val="nil"/>
              <w:right w:val="nil"/>
            </w:tcBorders>
            <w:noWrap/>
            <w:vAlign w:val="center"/>
            <w:hideMark/>
          </w:tcPr>
          <w:p w14:paraId="2F86B8A7"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2.5</w:t>
            </w:r>
          </w:p>
        </w:tc>
        <w:tc>
          <w:tcPr>
            <w:tcW w:w="1943" w:type="dxa"/>
            <w:tcBorders>
              <w:top w:val="nil"/>
              <w:left w:val="nil"/>
              <w:bottom w:val="nil"/>
              <w:right w:val="nil"/>
            </w:tcBorders>
            <w:vAlign w:val="center"/>
            <w:hideMark/>
          </w:tcPr>
          <w:p w14:paraId="5E66BAAE"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Bulk, 20-mesh</w:t>
            </w:r>
          </w:p>
        </w:tc>
        <w:tc>
          <w:tcPr>
            <w:tcW w:w="1632" w:type="dxa"/>
            <w:tcBorders>
              <w:top w:val="nil"/>
              <w:left w:val="nil"/>
              <w:bottom w:val="nil"/>
              <w:right w:val="nil"/>
            </w:tcBorders>
            <w:noWrap/>
            <w:vAlign w:val="center"/>
            <w:hideMark/>
          </w:tcPr>
          <w:p w14:paraId="26148126"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NM</w:t>
            </w:r>
          </w:p>
        </w:tc>
        <w:tc>
          <w:tcPr>
            <w:tcW w:w="1787" w:type="dxa"/>
            <w:tcBorders>
              <w:top w:val="nil"/>
              <w:left w:val="nil"/>
              <w:bottom w:val="nil"/>
              <w:right w:val="nil"/>
            </w:tcBorders>
            <w:noWrap/>
            <w:vAlign w:val="center"/>
            <w:hideMark/>
          </w:tcPr>
          <w:p w14:paraId="7BAB63C5"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20</w:t>
            </w:r>
          </w:p>
        </w:tc>
        <w:tc>
          <w:tcPr>
            <w:tcW w:w="1787" w:type="dxa"/>
            <w:tcBorders>
              <w:top w:val="nil"/>
              <w:left w:val="nil"/>
              <w:bottom w:val="nil"/>
              <w:right w:val="nil"/>
            </w:tcBorders>
            <w:noWrap/>
            <w:vAlign w:val="center"/>
            <w:hideMark/>
          </w:tcPr>
          <w:p w14:paraId="791F7C04"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Alfa </w:t>
            </w:r>
            <w:proofErr w:type="spellStart"/>
            <w:r w:rsidRPr="00D022D3">
              <w:rPr>
                <w:rFonts w:eastAsia="Times New Roman" w:cs="Times New Roman"/>
                <w:kern w:val="0"/>
                <w:sz w:val="22"/>
                <w:szCs w:val="22"/>
                <w14:ligatures w14:val="none"/>
              </w:rPr>
              <w:t>Aesar</w:t>
            </w:r>
            <w:proofErr w:type="spellEnd"/>
          </w:p>
        </w:tc>
        <w:tc>
          <w:tcPr>
            <w:tcW w:w="1788" w:type="dxa"/>
            <w:tcBorders>
              <w:top w:val="nil"/>
              <w:left w:val="nil"/>
              <w:bottom w:val="nil"/>
              <w:right w:val="nil"/>
            </w:tcBorders>
            <w:noWrap/>
            <w:vAlign w:val="center"/>
            <w:hideMark/>
          </w:tcPr>
          <w:p w14:paraId="47E5A49B"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3 months</w:t>
            </w:r>
          </w:p>
        </w:tc>
      </w:tr>
      <w:tr w:rsidR="00793E03" w:rsidRPr="00D022D3" w14:paraId="0A2BAEDA" w14:textId="77777777" w:rsidTr="007A78B8">
        <w:trPr>
          <w:trHeight w:val="338"/>
        </w:trPr>
        <w:tc>
          <w:tcPr>
            <w:tcW w:w="1787" w:type="dxa"/>
            <w:tcBorders>
              <w:top w:val="nil"/>
              <w:left w:val="nil"/>
              <w:bottom w:val="nil"/>
              <w:right w:val="nil"/>
            </w:tcBorders>
            <w:noWrap/>
            <w:vAlign w:val="center"/>
            <w:hideMark/>
          </w:tcPr>
          <w:p w14:paraId="2CF1BB2F" w14:textId="3F7923A8"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w:t>
            </w:r>
            <w:r>
              <w:rPr>
                <w:rFonts w:eastAsia="Times New Roman" w:cs="Times New Roman"/>
                <w:kern w:val="0"/>
                <w:sz w:val="22"/>
                <w:szCs w:val="22"/>
                <w14:ligatures w14:val="none"/>
              </w:rPr>
              <w:t>n</w:t>
            </w:r>
            <w:r w:rsidRPr="00D022D3">
              <w:rPr>
                <w:rFonts w:eastAsia="Times New Roman" w:cs="Times New Roman"/>
                <w:kern w:val="0"/>
                <w:sz w:val="22"/>
                <w:szCs w:val="22"/>
                <w14:ligatures w14:val="none"/>
              </w:rPr>
              <w:t xml:space="preserve"> 103-3</w:t>
            </w:r>
          </w:p>
        </w:tc>
        <w:tc>
          <w:tcPr>
            <w:tcW w:w="1787" w:type="dxa"/>
            <w:tcBorders>
              <w:top w:val="nil"/>
              <w:left w:val="nil"/>
              <w:bottom w:val="nil"/>
              <w:right w:val="nil"/>
            </w:tcBorders>
            <w:noWrap/>
            <w:vAlign w:val="center"/>
            <w:hideMark/>
          </w:tcPr>
          <w:p w14:paraId="50A6BEEF"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2.5</w:t>
            </w:r>
          </w:p>
        </w:tc>
        <w:tc>
          <w:tcPr>
            <w:tcW w:w="1943" w:type="dxa"/>
            <w:tcBorders>
              <w:top w:val="nil"/>
              <w:left w:val="nil"/>
              <w:bottom w:val="nil"/>
              <w:right w:val="nil"/>
            </w:tcBorders>
            <w:vAlign w:val="center"/>
            <w:hideMark/>
          </w:tcPr>
          <w:p w14:paraId="27F7ADE5"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Bulk, 20-mesh</w:t>
            </w:r>
          </w:p>
        </w:tc>
        <w:tc>
          <w:tcPr>
            <w:tcW w:w="1632" w:type="dxa"/>
            <w:tcBorders>
              <w:top w:val="nil"/>
              <w:left w:val="nil"/>
              <w:bottom w:val="nil"/>
              <w:right w:val="nil"/>
            </w:tcBorders>
            <w:noWrap/>
            <w:vAlign w:val="center"/>
            <w:hideMark/>
          </w:tcPr>
          <w:p w14:paraId="63D6E036"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NM</w:t>
            </w:r>
          </w:p>
        </w:tc>
        <w:tc>
          <w:tcPr>
            <w:tcW w:w="1787" w:type="dxa"/>
            <w:tcBorders>
              <w:top w:val="nil"/>
              <w:left w:val="nil"/>
              <w:bottom w:val="nil"/>
              <w:right w:val="nil"/>
            </w:tcBorders>
            <w:noWrap/>
            <w:vAlign w:val="center"/>
            <w:hideMark/>
          </w:tcPr>
          <w:p w14:paraId="45647665"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20</w:t>
            </w:r>
          </w:p>
        </w:tc>
        <w:tc>
          <w:tcPr>
            <w:tcW w:w="1787" w:type="dxa"/>
            <w:tcBorders>
              <w:top w:val="nil"/>
              <w:left w:val="nil"/>
              <w:bottom w:val="nil"/>
              <w:right w:val="nil"/>
            </w:tcBorders>
            <w:noWrap/>
            <w:vAlign w:val="center"/>
            <w:hideMark/>
          </w:tcPr>
          <w:p w14:paraId="3A1EE76B"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Alfa </w:t>
            </w:r>
            <w:proofErr w:type="spellStart"/>
            <w:r w:rsidRPr="00D022D3">
              <w:rPr>
                <w:rFonts w:eastAsia="Times New Roman" w:cs="Times New Roman"/>
                <w:kern w:val="0"/>
                <w:sz w:val="22"/>
                <w:szCs w:val="22"/>
                <w14:ligatures w14:val="none"/>
              </w:rPr>
              <w:t>Aesar</w:t>
            </w:r>
            <w:proofErr w:type="spellEnd"/>
          </w:p>
        </w:tc>
        <w:tc>
          <w:tcPr>
            <w:tcW w:w="1788" w:type="dxa"/>
            <w:tcBorders>
              <w:top w:val="nil"/>
              <w:left w:val="nil"/>
              <w:bottom w:val="nil"/>
              <w:right w:val="nil"/>
            </w:tcBorders>
            <w:noWrap/>
            <w:vAlign w:val="center"/>
            <w:hideMark/>
          </w:tcPr>
          <w:p w14:paraId="4EA0CED5"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4 months</w:t>
            </w:r>
          </w:p>
        </w:tc>
      </w:tr>
      <w:tr w:rsidR="00793E03" w:rsidRPr="00D022D3" w14:paraId="4BF9D1AC" w14:textId="77777777" w:rsidTr="007A78B8">
        <w:trPr>
          <w:trHeight w:val="338"/>
        </w:trPr>
        <w:tc>
          <w:tcPr>
            <w:tcW w:w="1787" w:type="dxa"/>
            <w:tcBorders>
              <w:top w:val="nil"/>
              <w:left w:val="nil"/>
              <w:bottom w:val="nil"/>
              <w:right w:val="nil"/>
            </w:tcBorders>
            <w:noWrap/>
            <w:vAlign w:val="center"/>
            <w:hideMark/>
          </w:tcPr>
          <w:p w14:paraId="48DFA322"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Column 103-5</w:t>
            </w:r>
          </w:p>
        </w:tc>
        <w:tc>
          <w:tcPr>
            <w:tcW w:w="1787" w:type="dxa"/>
            <w:tcBorders>
              <w:top w:val="nil"/>
              <w:left w:val="nil"/>
              <w:bottom w:val="nil"/>
              <w:right w:val="nil"/>
            </w:tcBorders>
            <w:noWrap/>
            <w:vAlign w:val="center"/>
            <w:hideMark/>
          </w:tcPr>
          <w:p w14:paraId="46822332"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2.5</w:t>
            </w:r>
          </w:p>
        </w:tc>
        <w:tc>
          <w:tcPr>
            <w:tcW w:w="1943" w:type="dxa"/>
            <w:tcBorders>
              <w:top w:val="nil"/>
              <w:left w:val="nil"/>
              <w:bottom w:val="nil"/>
              <w:right w:val="nil"/>
            </w:tcBorders>
            <w:vAlign w:val="center"/>
            <w:hideMark/>
          </w:tcPr>
          <w:p w14:paraId="098D18D3"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Bulk, 20-mesh</w:t>
            </w:r>
          </w:p>
        </w:tc>
        <w:tc>
          <w:tcPr>
            <w:tcW w:w="1632" w:type="dxa"/>
            <w:tcBorders>
              <w:top w:val="nil"/>
              <w:left w:val="nil"/>
              <w:bottom w:val="nil"/>
              <w:right w:val="nil"/>
            </w:tcBorders>
            <w:noWrap/>
            <w:vAlign w:val="center"/>
            <w:hideMark/>
          </w:tcPr>
          <w:p w14:paraId="04FDFA19"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A9448E">
              <w:rPr>
                <w:rFonts w:eastAsia="Times New Roman" w:cs="Times New Roman"/>
                <w:kern w:val="0"/>
                <w:sz w:val="22"/>
                <w:szCs w:val="22"/>
                <w14:ligatures w14:val="none"/>
              </w:rPr>
              <w:t>0.0361</w:t>
            </w:r>
          </w:p>
        </w:tc>
        <w:tc>
          <w:tcPr>
            <w:tcW w:w="1787" w:type="dxa"/>
            <w:tcBorders>
              <w:top w:val="nil"/>
              <w:left w:val="nil"/>
              <w:bottom w:val="nil"/>
              <w:right w:val="nil"/>
            </w:tcBorders>
            <w:vAlign w:val="center"/>
            <w:hideMark/>
          </w:tcPr>
          <w:p w14:paraId="1E704157"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841</w:t>
            </w:r>
          </w:p>
        </w:tc>
        <w:tc>
          <w:tcPr>
            <w:tcW w:w="1787" w:type="dxa"/>
            <w:tcBorders>
              <w:top w:val="nil"/>
              <w:left w:val="nil"/>
              <w:bottom w:val="nil"/>
              <w:right w:val="nil"/>
            </w:tcBorders>
            <w:noWrap/>
            <w:vAlign w:val="center"/>
            <w:hideMark/>
          </w:tcPr>
          <w:p w14:paraId="5387592E"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Alfa </w:t>
            </w:r>
            <w:proofErr w:type="spellStart"/>
            <w:r w:rsidRPr="00D022D3">
              <w:rPr>
                <w:rFonts w:eastAsia="Times New Roman" w:cs="Times New Roman"/>
                <w:kern w:val="0"/>
                <w:sz w:val="22"/>
                <w:szCs w:val="22"/>
                <w14:ligatures w14:val="none"/>
              </w:rPr>
              <w:t>Aesar</w:t>
            </w:r>
            <w:proofErr w:type="spellEnd"/>
          </w:p>
        </w:tc>
        <w:tc>
          <w:tcPr>
            <w:tcW w:w="1788" w:type="dxa"/>
            <w:tcBorders>
              <w:top w:val="nil"/>
              <w:left w:val="nil"/>
              <w:bottom w:val="nil"/>
              <w:right w:val="nil"/>
            </w:tcBorders>
            <w:noWrap/>
            <w:vAlign w:val="center"/>
            <w:hideMark/>
          </w:tcPr>
          <w:p w14:paraId="0A752ADB"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ongoing</w:t>
            </w:r>
          </w:p>
        </w:tc>
      </w:tr>
      <w:tr w:rsidR="00793E03" w:rsidRPr="00D022D3" w14:paraId="42B90060" w14:textId="77777777" w:rsidTr="007A78B8">
        <w:trPr>
          <w:trHeight w:val="318"/>
        </w:trPr>
        <w:tc>
          <w:tcPr>
            <w:tcW w:w="1787" w:type="dxa"/>
            <w:tcBorders>
              <w:top w:val="nil"/>
              <w:left w:val="nil"/>
              <w:bottom w:val="nil"/>
              <w:right w:val="nil"/>
            </w:tcBorders>
            <w:noWrap/>
            <w:vAlign w:val="center"/>
            <w:hideMark/>
          </w:tcPr>
          <w:p w14:paraId="49EDA394" w14:textId="5374C840"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w:t>
            </w:r>
            <w:r>
              <w:rPr>
                <w:rFonts w:eastAsia="Times New Roman" w:cs="Times New Roman"/>
                <w:kern w:val="0"/>
                <w:sz w:val="22"/>
                <w:szCs w:val="22"/>
                <w14:ligatures w14:val="none"/>
              </w:rPr>
              <w:t>n</w:t>
            </w:r>
            <w:r w:rsidRPr="00D022D3">
              <w:rPr>
                <w:rFonts w:eastAsia="Times New Roman" w:cs="Times New Roman"/>
                <w:kern w:val="0"/>
                <w:sz w:val="22"/>
                <w:szCs w:val="22"/>
                <w14:ligatures w14:val="none"/>
              </w:rPr>
              <w:t xml:space="preserve"> 111-1</w:t>
            </w:r>
          </w:p>
        </w:tc>
        <w:tc>
          <w:tcPr>
            <w:tcW w:w="1787" w:type="dxa"/>
            <w:tcBorders>
              <w:top w:val="nil"/>
              <w:left w:val="nil"/>
              <w:bottom w:val="nil"/>
              <w:right w:val="nil"/>
            </w:tcBorders>
            <w:noWrap/>
            <w:vAlign w:val="center"/>
            <w:hideMark/>
          </w:tcPr>
          <w:p w14:paraId="3CA9346A"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2.5</w:t>
            </w:r>
          </w:p>
        </w:tc>
        <w:tc>
          <w:tcPr>
            <w:tcW w:w="1943" w:type="dxa"/>
            <w:tcBorders>
              <w:top w:val="nil"/>
              <w:left w:val="nil"/>
              <w:bottom w:val="nil"/>
              <w:right w:val="nil"/>
            </w:tcBorders>
            <w:noWrap/>
            <w:vAlign w:val="center"/>
            <w:hideMark/>
          </w:tcPr>
          <w:p w14:paraId="424CA392"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Bulk, </w:t>
            </w:r>
            <w:proofErr w:type="spellStart"/>
            <w:r w:rsidRPr="00D022D3">
              <w:rPr>
                <w:rFonts w:eastAsia="Times New Roman" w:cs="Times New Roman"/>
                <w:kern w:val="0"/>
                <w:sz w:val="22"/>
                <w:szCs w:val="22"/>
                <w14:ligatures w14:val="none"/>
              </w:rPr>
              <w:t>nZVI</w:t>
            </w:r>
            <w:proofErr w:type="spellEnd"/>
          </w:p>
        </w:tc>
        <w:tc>
          <w:tcPr>
            <w:tcW w:w="1632" w:type="dxa"/>
            <w:tcBorders>
              <w:top w:val="nil"/>
              <w:left w:val="nil"/>
              <w:bottom w:val="nil"/>
              <w:right w:val="nil"/>
            </w:tcBorders>
            <w:noWrap/>
            <w:vAlign w:val="center"/>
            <w:hideMark/>
          </w:tcPr>
          <w:p w14:paraId="112BE272"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NM</w:t>
            </w:r>
          </w:p>
        </w:tc>
        <w:tc>
          <w:tcPr>
            <w:tcW w:w="1787" w:type="dxa"/>
            <w:tcBorders>
              <w:top w:val="nil"/>
              <w:left w:val="nil"/>
              <w:bottom w:val="nil"/>
              <w:right w:val="nil"/>
            </w:tcBorders>
            <w:noWrap/>
            <w:vAlign w:val="center"/>
            <w:hideMark/>
          </w:tcPr>
          <w:p w14:paraId="5B9AF10D"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nano</w:t>
            </w:r>
          </w:p>
        </w:tc>
        <w:tc>
          <w:tcPr>
            <w:tcW w:w="1787" w:type="dxa"/>
            <w:tcBorders>
              <w:top w:val="nil"/>
              <w:left w:val="nil"/>
              <w:bottom w:val="nil"/>
              <w:right w:val="nil"/>
            </w:tcBorders>
            <w:noWrap/>
            <w:vAlign w:val="center"/>
            <w:hideMark/>
          </w:tcPr>
          <w:p w14:paraId="621E5E0E" w14:textId="77777777" w:rsidR="00793E03" w:rsidRPr="00D022D3" w:rsidRDefault="00793E03" w:rsidP="007A78B8">
            <w:pPr>
              <w:spacing w:after="0" w:line="240" w:lineRule="auto"/>
              <w:jc w:val="center"/>
              <w:rPr>
                <w:rFonts w:eastAsia="Times New Roman" w:cs="Times New Roman"/>
                <w:kern w:val="0"/>
                <w:sz w:val="22"/>
                <w:szCs w:val="22"/>
                <w14:ligatures w14:val="none"/>
              </w:rPr>
            </w:pPr>
            <w:proofErr w:type="spellStart"/>
            <w:r w:rsidRPr="00D022D3">
              <w:rPr>
                <w:rFonts w:eastAsia="Times New Roman" w:cs="Times New Roman"/>
                <w:kern w:val="0"/>
                <w:sz w:val="22"/>
                <w:szCs w:val="22"/>
                <w14:ligatures w14:val="none"/>
              </w:rPr>
              <w:t>Hepure</w:t>
            </w:r>
            <w:proofErr w:type="spellEnd"/>
          </w:p>
        </w:tc>
        <w:tc>
          <w:tcPr>
            <w:tcW w:w="1788" w:type="dxa"/>
            <w:tcBorders>
              <w:top w:val="nil"/>
              <w:left w:val="nil"/>
              <w:bottom w:val="nil"/>
              <w:right w:val="nil"/>
            </w:tcBorders>
            <w:noWrap/>
            <w:vAlign w:val="center"/>
            <w:hideMark/>
          </w:tcPr>
          <w:p w14:paraId="420B333A"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 months</w:t>
            </w:r>
          </w:p>
        </w:tc>
      </w:tr>
      <w:tr w:rsidR="00793E03" w:rsidRPr="00D022D3" w14:paraId="37A29345" w14:textId="77777777" w:rsidTr="007A78B8">
        <w:trPr>
          <w:trHeight w:val="318"/>
        </w:trPr>
        <w:tc>
          <w:tcPr>
            <w:tcW w:w="1787" w:type="dxa"/>
            <w:tcBorders>
              <w:top w:val="nil"/>
              <w:left w:val="nil"/>
              <w:bottom w:val="nil"/>
              <w:right w:val="nil"/>
            </w:tcBorders>
            <w:noWrap/>
            <w:vAlign w:val="center"/>
            <w:hideMark/>
          </w:tcPr>
          <w:p w14:paraId="4E504794" w14:textId="42331545"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w:t>
            </w:r>
            <w:r>
              <w:rPr>
                <w:rFonts w:eastAsia="Times New Roman" w:cs="Times New Roman"/>
                <w:kern w:val="0"/>
                <w:sz w:val="22"/>
                <w:szCs w:val="22"/>
                <w14:ligatures w14:val="none"/>
              </w:rPr>
              <w:t>n</w:t>
            </w:r>
            <w:r w:rsidRPr="00D022D3">
              <w:rPr>
                <w:rFonts w:eastAsia="Times New Roman" w:cs="Times New Roman"/>
                <w:kern w:val="0"/>
                <w:sz w:val="22"/>
                <w:szCs w:val="22"/>
                <w14:ligatures w14:val="none"/>
              </w:rPr>
              <w:t xml:space="preserve"> 111-2</w:t>
            </w:r>
          </w:p>
        </w:tc>
        <w:tc>
          <w:tcPr>
            <w:tcW w:w="1787" w:type="dxa"/>
            <w:tcBorders>
              <w:top w:val="nil"/>
              <w:left w:val="nil"/>
              <w:bottom w:val="nil"/>
              <w:right w:val="nil"/>
            </w:tcBorders>
            <w:noWrap/>
            <w:vAlign w:val="center"/>
            <w:hideMark/>
          </w:tcPr>
          <w:p w14:paraId="78D6D766"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2.5</w:t>
            </w:r>
          </w:p>
        </w:tc>
        <w:tc>
          <w:tcPr>
            <w:tcW w:w="1943" w:type="dxa"/>
            <w:tcBorders>
              <w:top w:val="nil"/>
              <w:left w:val="nil"/>
              <w:bottom w:val="nil"/>
              <w:right w:val="nil"/>
            </w:tcBorders>
            <w:noWrap/>
            <w:vAlign w:val="center"/>
            <w:hideMark/>
          </w:tcPr>
          <w:p w14:paraId="65124DB4"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Bulk, </w:t>
            </w:r>
            <w:proofErr w:type="spellStart"/>
            <w:r w:rsidRPr="00D022D3">
              <w:rPr>
                <w:rFonts w:eastAsia="Times New Roman" w:cs="Times New Roman"/>
                <w:kern w:val="0"/>
                <w:sz w:val="22"/>
                <w:szCs w:val="22"/>
                <w14:ligatures w14:val="none"/>
              </w:rPr>
              <w:t>nZVI</w:t>
            </w:r>
            <w:proofErr w:type="spellEnd"/>
          </w:p>
        </w:tc>
        <w:tc>
          <w:tcPr>
            <w:tcW w:w="1632" w:type="dxa"/>
            <w:tcBorders>
              <w:top w:val="nil"/>
              <w:left w:val="nil"/>
              <w:bottom w:val="nil"/>
              <w:right w:val="nil"/>
            </w:tcBorders>
            <w:noWrap/>
            <w:vAlign w:val="center"/>
            <w:hideMark/>
          </w:tcPr>
          <w:p w14:paraId="0A3BD094"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NM</w:t>
            </w:r>
          </w:p>
        </w:tc>
        <w:tc>
          <w:tcPr>
            <w:tcW w:w="1787" w:type="dxa"/>
            <w:tcBorders>
              <w:top w:val="nil"/>
              <w:left w:val="nil"/>
              <w:bottom w:val="nil"/>
              <w:right w:val="nil"/>
            </w:tcBorders>
            <w:noWrap/>
            <w:vAlign w:val="center"/>
            <w:hideMark/>
          </w:tcPr>
          <w:p w14:paraId="33BD7D9B"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nano</w:t>
            </w:r>
          </w:p>
        </w:tc>
        <w:tc>
          <w:tcPr>
            <w:tcW w:w="1787" w:type="dxa"/>
            <w:tcBorders>
              <w:top w:val="nil"/>
              <w:left w:val="nil"/>
              <w:bottom w:val="nil"/>
              <w:right w:val="nil"/>
            </w:tcBorders>
            <w:noWrap/>
            <w:vAlign w:val="center"/>
            <w:hideMark/>
          </w:tcPr>
          <w:p w14:paraId="078873DC" w14:textId="77777777" w:rsidR="00793E03" w:rsidRPr="00D022D3" w:rsidRDefault="00793E03" w:rsidP="007A78B8">
            <w:pPr>
              <w:spacing w:after="0" w:line="240" w:lineRule="auto"/>
              <w:jc w:val="center"/>
              <w:rPr>
                <w:rFonts w:eastAsia="Times New Roman" w:cs="Times New Roman"/>
                <w:kern w:val="0"/>
                <w:sz w:val="22"/>
                <w:szCs w:val="22"/>
                <w14:ligatures w14:val="none"/>
              </w:rPr>
            </w:pPr>
            <w:proofErr w:type="spellStart"/>
            <w:r w:rsidRPr="00D022D3">
              <w:rPr>
                <w:rFonts w:eastAsia="Times New Roman" w:cs="Times New Roman"/>
                <w:kern w:val="0"/>
                <w:sz w:val="22"/>
                <w:szCs w:val="22"/>
                <w14:ligatures w14:val="none"/>
              </w:rPr>
              <w:t>Hepure</w:t>
            </w:r>
            <w:proofErr w:type="spellEnd"/>
          </w:p>
        </w:tc>
        <w:tc>
          <w:tcPr>
            <w:tcW w:w="1788" w:type="dxa"/>
            <w:tcBorders>
              <w:top w:val="nil"/>
              <w:left w:val="nil"/>
              <w:bottom w:val="nil"/>
              <w:right w:val="nil"/>
            </w:tcBorders>
            <w:noWrap/>
            <w:vAlign w:val="center"/>
            <w:hideMark/>
          </w:tcPr>
          <w:p w14:paraId="18D17C84"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3 months</w:t>
            </w:r>
          </w:p>
        </w:tc>
      </w:tr>
      <w:tr w:rsidR="00793E03" w:rsidRPr="00D022D3" w14:paraId="34C74176" w14:textId="77777777" w:rsidTr="007A78B8">
        <w:trPr>
          <w:trHeight w:val="318"/>
        </w:trPr>
        <w:tc>
          <w:tcPr>
            <w:tcW w:w="1787" w:type="dxa"/>
            <w:tcBorders>
              <w:top w:val="nil"/>
              <w:left w:val="nil"/>
              <w:bottom w:val="nil"/>
              <w:right w:val="nil"/>
            </w:tcBorders>
            <w:noWrap/>
            <w:vAlign w:val="center"/>
            <w:hideMark/>
          </w:tcPr>
          <w:p w14:paraId="72F88432" w14:textId="3CC3BFA0"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w:t>
            </w:r>
            <w:r>
              <w:rPr>
                <w:rFonts w:eastAsia="Times New Roman" w:cs="Times New Roman"/>
                <w:kern w:val="0"/>
                <w:sz w:val="22"/>
                <w:szCs w:val="22"/>
                <w14:ligatures w14:val="none"/>
              </w:rPr>
              <w:t>n</w:t>
            </w:r>
            <w:r w:rsidRPr="00D022D3">
              <w:rPr>
                <w:rFonts w:eastAsia="Times New Roman" w:cs="Times New Roman"/>
                <w:kern w:val="0"/>
                <w:sz w:val="22"/>
                <w:szCs w:val="22"/>
                <w14:ligatures w14:val="none"/>
              </w:rPr>
              <w:t xml:space="preserve"> 111-3</w:t>
            </w:r>
          </w:p>
        </w:tc>
        <w:tc>
          <w:tcPr>
            <w:tcW w:w="1787" w:type="dxa"/>
            <w:tcBorders>
              <w:top w:val="nil"/>
              <w:left w:val="nil"/>
              <w:bottom w:val="nil"/>
              <w:right w:val="nil"/>
            </w:tcBorders>
            <w:noWrap/>
            <w:vAlign w:val="center"/>
            <w:hideMark/>
          </w:tcPr>
          <w:p w14:paraId="42F472F7"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2.5</w:t>
            </w:r>
          </w:p>
        </w:tc>
        <w:tc>
          <w:tcPr>
            <w:tcW w:w="1943" w:type="dxa"/>
            <w:tcBorders>
              <w:top w:val="nil"/>
              <w:left w:val="nil"/>
              <w:bottom w:val="nil"/>
              <w:right w:val="nil"/>
            </w:tcBorders>
            <w:noWrap/>
            <w:vAlign w:val="center"/>
            <w:hideMark/>
          </w:tcPr>
          <w:p w14:paraId="36EB50DD"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Bulk, </w:t>
            </w:r>
            <w:proofErr w:type="spellStart"/>
            <w:r w:rsidRPr="00D022D3">
              <w:rPr>
                <w:rFonts w:eastAsia="Times New Roman" w:cs="Times New Roman"/>
                <w:kern w:val="0"/>
                <w:sz w:val="22"/>
                <w:szCs w:val="22"/>
                <w14:ligatures w14:val="none"/>
              </w:rPr>
              <w:t>nZVI</w:t>
            </w:r>
            <w:proofErr w:type="spellEnd"/>
          </w:p>
        </w:tc>
        <w:tc>
          <w:tcPr>
            <w:tcW w:w="1632" w:type="dxa"/>
            <w:tcBorders>
              <w:top w:val="nil"/>
              <w:left w:val="nil"/>
              <w:bottom w:val="nil"/>
              <w:right w:val="nil"/>
            </w:tcBorders>
            <w:noWrap/>
            <w:vAlign w:val="center"/>
            <w:hideMark/>
          </w:tcPr>
          <w:p w14:paraId="7C89EDAC"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NM</w:t>
            </w:r>
          </w:p>
        </w:tc>
        <w:tc>
          <w:tcPr>
            <w:tcW w:w="1787" w:type="dxa"/>
            <w:tcBorders>
              <w:top w:val="nil"/>
              <w:left w:val="nil"/>
              <w:bottom w:val="nil"/>
              <w:right w:val="nil"/>
            </w:tcBorders>
            <w:noWrap/>
            <w:vAlign w:val="center"/>
            <w:hideMark/>
          </w:tcPr>
          <w:p w14:paraId="526FD2F3"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nano</w:t>
            </w:r>
          </w:p>
        </w:tc>
        <w:tc>
          <w:tcPr>
            <w:tcW w:w="1787" w:type="dxa"/>
            <w:tcBorders>
              <w:top w:val="nil"/>
              <w:left w:val="nil"/>
              <w:bottom w:val="nil"/>
              <w:right w:val="nil"/>
            </w:tcBorders>
            <w:noWrap/>
            <w:vAlign w:val="center"/>
            <w:hideMark/>
          </w:tcPr>
          <w:p w14:paraId="26FC8AAC" w14:textId="77777777" w:rsidR="00793E03" w:rsidRPr="00D022D3" w:rsidRDefault="00793E03" w:rsidP="007A78B8">
            <w:pPr>
              <w:spacing w:after="0" w:line="240" w:lineRule="auto"/>
              <w:jc w:val="center"/>
              <w:rPr>
                <w:rFonts w:eastAsia="Times New Roman" w:cs="Times New Roman"/>
                <w:kern w:val="0"/>
                <w:sz w:val="22"/>
                <w:szCs w:val="22"/>
                <w14:ligatures w14:val="none"/>
              </w:rPr>
            </w:pPr>
            <w:proofErr w:type="spellStart"/>
            <w:r w:rsidRPr="00D022D3">
              <w:rPr>
                <w:rFonts w:eastAsia="Times New Roman" w:cs="Times New Roman"/>
                <w:kern w:val="0"/>
                <w:sz w:val="22"/>
                <w:szCs w:val="22"/>
                <w14:ligatures w14:val="none"/>
              </w:rPr>
              <w:t>Hepure</w:t>
            </w:r>
            <w:proofErr w:type="spellEnd"/>
          </w:p>
        </w:tc>
        <w:tc>
          <w:tcPr>
            <w:tcW w:w="1788" w:type="dxa"/>
            <w:tcBorders>
              <w:top w:val="nil"/>
              <w:left w:val="nil"/>
              <w:bottom w:val="nil"/>
              <w:right w:val="nil"/>
            </w:tcBorders>
            <w:noWrap/>
            <w:vAlign w:val="center"/>
            <w:hideMark/>
          </w:tcPr>
          <w:p w14:paraId="4160AC85"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4</w:t>
            </w:r>
            <w:r w:rsidRPr="00D022D3">
              <w:rPr>
                <w:rFonts w:eastAsia="Times New Roman" w:cs="Times New Roman"/>
                <w:kern w:val="0"/>
                <w:sz w:val="22"/>
                <w:szCs w:val="22"/>
                <w14:ligatures w14:val="none"/>
              </w:rPr>
              <w:t xml:space="preserve"> months</w:t>
            </w:r>
          </w:p>
        </w:tc>
      </w:tr>
      <w:tr w:rsidR="00793E03" w:rsidRPr="00D022D3" w14:paraId="5DB610DB" w14:textId="77777777" w:rsidTr="007A78B8">
        <w:trPr>
          <w:trHeight w:val="318"/>
        </w:trPr>
        <w:tc>
          <w:tcPr>
            <w:tcW w:w="1787" w:type="dxa"/>
            <w:tcBorders>
              <w:top w:val="nil"/>
              <w:left w:val="nil"/>
              <w:right w:val="nil"/>
            </w:tcBorders>
            <w:noWrap/>
            <w:vAlign w:val="center"/>
            <w:hideMark/>
          </w:tcPr>
          <w:p w14:paraId="5B2708DC" w14:textId="3C9B2282"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Colum</w:t>
            </w:r>
            <w:r>
              <w:rPr>
                <w:rFonts w:eastAsia="Times New Roman" w:cs="Times New Roman"/>
                <w:kern w:val="0"/>
                <w:sz w:val="22"/>
                <w:szCs w:val="22"/>
                <w14:ligatures w14:val="none"/>
              </w:rPr>
              <w:t>n</w:t>
            </w:r>
            <w:r w:rsidRPr="00D022D3">
              <w:rPr>
                <w:rFonts w:eastAsia="Times New Roman" w:cs="Times New Roman"/>
                <w:kern w:val="0"/>
                <w:sz w:val="22"/>
                <w:szCs w:val="22"/>
                <w14:ligatures w14:val="none"/>
              </w:rPr>
              <w:t xml:space="preserve"> 111-4</w:t>
            </w:r>
          </w:p>
        </w:tc>
        <w:tc>
          <w:tcPr>
            <w:tcW w:w="1787" w:type="dxa"/>
            <w:tcBorders>
              <w:top w:val="nil"/>
              <w:left w:val="nil"/>
              <w:right w:val="nil"/>
            </w:tcBorders>
            <w:noWrap/>
            <w:vAlign w:val="center"/>
            <w:hideMark/>
          </w:tcPr>
          <w:p w14:paraId="038BB438"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2.5</w:t>
            </w:r>
          </w:p>
        </w:tc>
        <w:tc>
          <w:tcPr>
            <w:tcW w:w="1943" w:type="dxa"/>
            <w:tcBorders>
              <w:top w:val="nil"/>
              <w:left w:val="nil"/>
              <w:right w:val="nil"/>
            </w:tcBorders>
            <w:noWrap/>
            <w:vAlign w:val="center"/>
            <w:hideMark/>
          </w:tcPr>
          <w:p w14:paraId="218D8915"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 xml:space="preserve">Bulk, </w:t>
            </w:r>
            <w:proofErr w:type="spellStart"/>
            <w:r w:rsidRPr="00D022D3">
              <w:rPr>
                <w:rFonts w:eastAsia="Times New Roman" w:cs="Times New Roman"/>
                <w:kern w:val="0"/>
                <w:sz w:val="22"/>
                <w:szCs w:val="22"/>
                <w14:ligatures w14:val="none"/>
              </w:rPr>
              <w:t>nZVI</w:t>
            </w:r>
            <w:proofErr w:type="spellEnd"/>
          </w:p>
        </w:tc>
        <w:tc>
          <w:tcPr>
            <w:tcW w:w="1632" w:type="dxa"/>
            <w:tcBorders>
              <w:top w:val="nil"/>
              <w:left w:val="nil"/>
              <w:right w:val="nil"/>
            </w:tcBorders>
            <w:noWrap/>
            <w:vAlign w:val="center"/>
            <w:hideMark/>
          </w:tcPr>
          <w:p w14:paraId="4DD0C212"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Pr>
                <w:rFonts w:eastAsia="Times New Roman" w:cs="Times New Roman"/>
                <w:kern w:val="0"/>
                <w:sz w:val="22"/>
                <w:szCs w:val="22"/>
                <w14:ligatures w14:val="none"/>
              </w:rPr>
              <w:t>NM</w:t>
            </w:r>
          </w:p>
        </w:tc>
        <w:tc>
          <w:tcPr>
            <w:tcW w:w="1787" w:type="dxa"/>
            <w:tcBorders>
              <w:top w:val="nil"/>
              <w:left w:val="nil"/>
              <w:right w:val="nil"/>
            </w:tcBorders>
            <w:noWrap/>
            <w:vAlign w:val="center"/>
            <w:hideMark/>
          </w:tcPr>
          <w:p w14:paraId="5CB20567"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nano</w:t>
            </w:r>
          </w:p>
        </w:tc>
        <w:tc>
          <w:tcPr>
            <w:tcW w:w="1787" w:type="dxa"/>
            <w:tcBorders>
              <w:top w:val="nil"/>
              <w:left w:val="nil"/>
              <w:right w:val="nil"/>
            </w:tcBorders>
            <w:noWrap/>
            <w:vAlign w:val="center"/>
            <w:hideMark/>
          </w:tcPr>
          <w:p w14:paraId="34862A98" w14:textId="77777777" w:rsidR="00793E03" w:rsidRPr="00D022D3" w:rsidRDefault="00793E03" w:rsidP="007A78B8">
            <w:pPr>
              <w:spacing w:after="0" w:line="240" w:lineRule="auto"/>
              <w:jc w:val="center"/>
              <w:rPr>
                <w:rFonts w:eastAsia="Times New Roman" w:cs="Times New Roman"/>
                <w:kern w:val="0"/>
                <w:sz w:val="22"/>
                <w:szCs w:val="22"/>
                <w14:ligatures w14:val="none"/>
              </w:rPr>
            </w:pPr>
            <w:proofErr w:type="spellStart"/>
            <w:r w:rsidRPr="00D022D3">
              <w:rPr>
                <w:rFonts w:eastAsia="Times New Roman" w:cs="Times New Roman"/>
                <w:kern w:val="0"/>
                <w:sz w:val="22"/>
                <w:szCs w:val="22"/>
                <w14:ligatures w14:val="none"/>
              </w:rPr>
              <w:t>Hepure</w:t>
            </w:r>
            <w:proofErr w:type="spellEnd"/>
          </w:p>
        </w:tc>
        <w:tc>
          <w:tcPr>
            <w:tcW w:w="1788" w:type="dxa"/>
            <w:tcBorders>
              <w:top w:val="nil"/>
              <w:left w:val="nil"/>
              <w:right w:val="nil"/>
            </w:tcBorders>
            <w:noWrap/>
            <w:vAlign w:val="center"/>
            <w:hideMark/>
          </w:tcPr>
          <w:p w14:paraId="1A1CCB75"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eastAsia="Times New Roman" w:cs="Times New Roman"/>
                <w:kern w:val="0"/>
                <w:sz w:val="22"/>
                <w:szCs w:val="22"/>
                <w14:ligatures w14:val="none"/>
              </w:rPr>
              <w:t>2 months</w:t>
            </w:r>
          </w:p>
        </w:tc>
      </w:tr>
      <w:tr w:rsidR="00793E03" w:rsidRPr="00D022D3" w14:paraId="597A813F" w14:textId="77777777" w:rsidTr="007A78B8">
        <w:trPr>
          <w:trHeight w:val="318"/>
        </w:trPr>
        <w:tc>
          <w:tcPr>
            <w:tcW w:w="1787" w:type="dxa"/>
            <w:tcBorders>
              <w:top w:val="nil"/>
              <w:left w:val="nil"/>
              <w:bottom w:val="single" w:sz="4" w:space="0" w:color="auto"/>
              <w:right w:val="nil"/>
            </w:tcBorders>
            <w:noWrap/>
            <w:vAlign w:val="center"/>
          </w:tcPr>
          <w:p w14:paraId="2CB19B18"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cs="Times New Roman"/>
                <w:sz w:val="22"/>
                <w:szCs w:val="22"/>
              </w:rPr>
              <w:t>Column 111-5</w:t>
            </w:r>
          </w:p>
        </w:tc>
        <w:tc>
          <w:tcPr>
            <w:tcW w:w="1787" w:type="dxa"/>
            <w:tcBorders>
              <w:top w:val="nil"/>
              <w:left w:val="nil"/>
              <w:bottom w:val="single" w:sz="4" w:space="0" w:color="auto"/>
              <w:right w:val="nil"/>
            </w:tcBorders>
            <w:noWrap/>
            <w:vAlign w:val="center"/>
          </w:tcPr>
          <w:p w14:paraId="3497B306"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cs="Times New Roman"/>
                <w:sz w:val="22"/>
                <w:szCs w:val="22"/>
              </w:rPr>
              <w:t>2.5</w:t>
            </w:r>
          </w:p>
        </w:tc>
        <w:tc>
          <w:tcPr>
            <w:tcW w:w="1943" w:type="dxa"/>
            <w:tcBorders>
              <w:top w:val="nil"/>
              <w:left w:val="nil"/>
              <w:bottom w:val="single" w:sz="4" w:space="0" w:color="auto"/>
              <w:right w:val="nil"/>
            </w:tcBorders>
            <w:noWrap/>
            <w:vAlign w:val="center"/>
          </w:tcPr>
          <w:p w14:paraId="3ABBB5B6"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cs="Times New Roman"/>
                <w:sz w:val="22"/>
                <w:szCs w:val="22"/>
              </w:rPr>
              <w:t xml:space="preserve">Bulk, </w:t>
            </w:r>
            <w:proofErr w:type="spellStart"/>
            <w:r w:rsidRPr="00D022D3">
              <w:rPr>
                <w:rFonts w:cs="Times New Roman"/>
                <w:sz w:val="22"/>
                <w:szCs w:val="22"/>
              </w:rPr>
              <w:t>nZVI</w:t>
            </w:r>
            <w:proofErr w:type="spellEnd"/>
          </w:p>
        </w:tc>
        <w:tc>
          <w:tcPr>
            <w:tcW w:w="1632" w:type="dxa"/>
            <w:tcBorders>
              <w:top w:val="nil"/>
              <w:left w:val="nil"/>
              <w:bottom w:val="single" w:sz="4" w:space="0" w:color="auto"/>
              <w:right w:val="nil"/>
            </w:tcBorders>
            <w:noWrap/>
            <w:vAlign w:val="center"/>
          </w:tcPr>
          <w:p w14:paraId="4E36DA5D"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09129A">
              <w:rPr>
                <w:rFonts w:eastAsia="Times New Roman" w:cs="Times New Roman"/>
                <w:kern w:val="0"/>
                <w:sz w:val="22"/>
                <w:szCs w:val="22"/>
                <w14:ligatures w14:val="none"/>
              </w:rPr>
              <w:t>0.036</w:t>
            </w:r>
            <w:r>
              <w:rPr>
                <w:rFonts w:eastAsia="Times New Roman" w:cs="Times New Roman"/>
                <w:kern w:val="0"/>
                <w:sz w:val="22"/>
                <w:szCs w:val="22"/>
                <w14:ligatures w14:val="none"/>
              </w:rPr>
              <w:t>3</w:t>
            </w:r>
          </w:p>
        </w:tc>
        <w:tc>
          <w:tcPr>
            <w:tcW w:w="1787" w:type="dxa"/>
            <w:tcBorders>
              <w:top w:val="nil"/>
              <w:left w:val="nil"/>
              <w:bottom w:val="single" w:sz="4" w:space="0" w:color="auto"/>
              <w:right w:val="nil"/>
            </w:tcBorders>
            <w:noWrap/>
            <w:vAlign w:val="center"/>
          </w:tcPr>
          <w:p w14:paraId="2963F40F"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cs="Times New Roman"/>
                <w:sz w:val="22"/>
                <w:szCs w:val="22"/>
              </w:rPr>
              <w:t>nano</w:t>
            </w:r>
          </w:p>
        </w:tc>
        <w:tc>
          <w:tcPr>
            <w:tcW w:w="1787" w:type="dxa"/>
            <w:tcBorders>
              <w:top w:val="nil"/>
              <w:left w:val="nil"/>
              <w:bottom w:val="single" w:sz="4" w:space="0" w:color="auto"/>
              <w:right w:val="nil"/>
            </w:tcBorders>
            <w:noWrap/>
            <w:vAlign w:val="center"/>
          </w:tcPr>
          <w:p w14:paraId="7A96A7DB" w14:textId="77777777" w:rsidR="00793E03" w:rsidRPr="00D022D3" w:rsidRDefault="00793E03" w:rsidP="007A78B8">
            <w:pPr>
              <w:spacing w:after="0" w:line="240" w:lineRule="auto"/>
              <w:jc w:val="center"/>
              <w:rPr>
                <w:rFonts w:eastAsia="Times New Roman" w:cs="Times New Roman"/>
                <w:kern w:val="0"/>
                <w:sz w:val="22"/>
                <w:szCs w:val="22"/>
                <w14:ligatures w14:val="none"/>
              </w:rPr>
            </w:pPr>
            <w:proofErr w:type="spellStart"/>
            <w:r w:rsidRPr="00D022D3">
              <w:rPr>
                <w:rFonts w:cs="Times New Roman"/>
                <w:sz w:val="22"/>
                <w:szCs w:val="22"/>
              </w:rPr>
              <w:t>Hepure</w:t>
            </w:r>
            <w:proofErr w:type="spellEnd"/>
          </w:p>
        </w:tc>
        <w:tc>
          <w:tcPr>
            <w:tcW w:w="1788" w:type="dxa"/>
            <w:tcBorders>
              <w:top w:val="nil"/>
              <w:left w:val="nil"/>
              <w:bottom w:val="single" w:sz="4" w:space="0" w:color="auto"/>
              <w:right w:val="nil"/>
            </w:tcBorders>
            <w:noWrap/>
            <w:vAlign w:val="center"/>
          </w:tcPr>
          <w:p w14:paraId="00B2768C" w14:textId="77777777" w:rsidR="00793E03" w:rsidRPr="00D022D3" w:rsidRDefault="00793E03" w:rsidP="007A78B8">
            <w:pPr>
              <w:spacing w:after="0" w:line="240" w:lineRule="auto"/>
              <w:jc w:val="center"/>
              <w:rPr>
                <w:rFonts w:eastAsia="Times New Roman" w:cs="Times New Roman"/>
                <w:kern w:val="0"/>
                <w:sz w:val="22"/>
                <w:szCs w:val="22"/>
                <w14:ligatures w14:val="none"/>
              </w:rPr>
            </w:pPr>
            <w:r w:rsidRPr="00D022D3">
              <w:rPr>
                <w:rFonts w:cs="Times New Roman"/>
                <w:sz w:val="22"/>
                <w:szCs w:val="22"/>
              </w:rPr>
              <w:t>ongoing</w:t>
            </w:r>
          </w:p>
        </w:tc>
      </w:tr>
    </w:tbl>
    <w:p w14:paraId="7472351A" w14:textId="77777777" w:rsidR="00793E03" w:rsidRDefault="00793E03" w:rsidP="00793E03">
      <w:pPr>
        <w:spacing w:after="0" w:line="240" w:lineRule="auto"/>
        <w:rPr>
          <w:rFonts w:asciiTheme="majorHAnsi" w:eastAsia="Times New Roman" w:hAnsiTheme="majorHAnsi" w:cstheme="majorHAnsi"/>
          <w:kern w:val="0"/>
          <w14:ligatures w14:val="none"/>
        </w:rPr>
      </w:pPr>
    </w:p>
    <w:p w14:paraId="07E4FBF8" w14:textId="77777777" w:rsidR="00793E03" w:rsidRPr="0019008A" w:rsidRDefault="00793E03" w:rsidP="00793E03">
      <w:pPr>
        <w:keepNext/>
        <w:spacing w:after="0" w:line="480" w:lineRule="auto"/>
        <w:rPr>
          <w:rFonts w:cs="Times New Roman"/>
        </w:rPr>
      </w:pPr>
      <w:r w:rsidRPr="0019008A">
        <w:rPr>
          <w:rFonts w:cs="Times New Roman"/>
          <w:noProof/>
        </w:rPr>
        <w:lastRenderedPageBreak/>
        <w:drawing>
          <wp:inline distT="0" distB="0" distL="0" distR="0" wp14:anchorId="698A7EAC" wp14:editId="012A7FF4">
            <wp:extent cx="8392309" cy="3446585"/>
            <wp:effectExtent l="0" t="0" r="2540" b="0"/>
            <wp:docPr id="11795856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273090" name="Picture 848273090"/>
                    <pic:cNvPicPr/>
                  </pic:nvPicPr>
                  <pic:blipFill>
                    <a:blip r:embed="rId9"/>
                    <a:stretch>
                      <a:fillRect/>
                    </a:stretch>
                  </pic:blipFill>
                  <pic:spPr>
                    <a:xfrm>
                      <a:off x="0" y="0"/>
                      <a:ext cx="8499544" cy="3490625"/>
                    </a:xfrm>
                    <a:prstGeom prst="rect">
                      <a:avLst/>
                    </a:prstGeom>
                  </pic:spPr>
                </pic:pic>
              </a:graphicData>
            </a:graphic>
          </wp:inline>
        </w:drawing>
      </w:r>
    </w:p>
    <w:p w14:paraId="75440DCD" w14:textId="6FDB5DE0" w:rsidR="00793E03" w:rsidRDefault="00793E03" w:rsidP="00793E03">
      <w:pPr>
        <w:spacing w:after="0" w:line="240" w:lineRule="auto"/>
        <w:ind w:firstLine="720"/>
        <w:rPr>
          <w:rFonts w:cs="Times New Roman"/>
          <w:sz w:val="22"/>
          <w:szCs w:val="22"/>
        </w:rPr>
        <w:sectPr w:rsidR="00793E03" w:rsidSect="00793E03">
          <w:pgSz w:w="15840" w:h="12240" w:orient="landscape"/>
          <w:pgMar w:top="1440" w:right="1440" w:bottom="1440" w:left="1440" w:header="720" w:footer="720" w:gutter="0"/>
          <w:cols w:space="720"/>
          <w:docGrid w:linePitch="360"/>
        </w:sectPr>
      </w:pPr>
      <w:r w:rsidRPr="00884AC3">
        <w:rPr>
          <w:rFonts w:cs="Times New Roman"/>
          <w:b/>
          <w:bCs/>
          <w:sz w:val="22"/>
          <w:szCs w:val="22"/>
        </w:rPr>
        <w:t xml:space="preserve">Figure </w:t>
      </w:r>
      <w:r>
        <w:rPr>
          <w:rFonts w:cs="Times New Roman"/>
          <w:b/>
          <w:bCs/>
          <w:sz w:val="22"/>
          <w:szCs w:val="22"/>
        </w:rPr>
        <w:t>1</w:t>
      </w:r>
      <w:r w:rsidRPr="00884AC3">
        <w:rPr>
          <w:rFonts w:cs="Times New Roman"/>
          <w:b/>
          <w:bCs/>
          <w:sz w:val="22"/>
          <w:szCs w:val="22"/>
        </w:rPr>
        <w:t>:</w:t>
      </w:r>
      <w:r w:rsidRPr="00D022D3">
        <w:rPr>
          <w:rFonts w:cs="Times New Roman"/>
          <w:sz w:val="22"/>
          <w:szCs w:val="22"/>
        </w:rPr>
        <w:t xml:space="preserve"> Process </w:t>
      </w:r>
      <w:r>
        <w:rPr>
          <w:rFonts w:cs="Times New Roman"/>
          <w:sz w:val="22"/>
          <w:szCs w:val="22"/>
        </w:rPr>
        <w:t>d</w:t>
      </w:r>
      <w:r w:rsidRPr="00D022D3">
        <w:rPr>
          <w:rFonts w:cs="Times New Roman"/>
          <w:sz w:val="22"/>
          <w:szCs w:val="22"/>
        </w:rPr>
        <w:t>iagram for experimental setup</w:t>
      </w:r>
      <w:r>
        <w:rPr>
          <w:rFonts w:cs="Times New Roman"/>
          <w:sz w:val="22"/>
          <w:szCs w:val="22"/>
        </w:rPr>
        <w:t xml:space="preserve">. </w:t>
      </w:r>
    </w:p>
    <w:p w14:paraId="1F9A9223" w14:textId="76A315DC" w:rsidR="00793E03" w:rsidRDefault="00793E03" w:rsidP="00793E03">
      <w:pPr>
        <w:spacing w:after="0" w:line="240" w:lineRule="auto"/>
        <w:ind w:firstLine="720"/>
        <w:rPr>
          <w:rFonts w:asciiTheme="majorHAnsi" w:eastAsia="Times New Roman" w:hAnsiTheme="majorHAnsi" w:cstheme="majorHAnsi"/>
          <w:kern w:val="0"/>
          <w14:ligatures w14:val="none"/>
        </w:rPr>
      </w:pPr>
    </w:p>
    <w:p w14:paraId="3D415266" w14:textId="77777777" w:rsidR="00793E03" w:rsidRPr="00793E03" w:rsidRDefault="00793E03" w:rsidP="00793E03">
      <w:pPr>
        <w:spacing w:after="0" w:line="240" w:lineRule="auto"/>
        <w:ind w:firstLine="720"/>
        <w:rPr>
          <w:rFonts w:asciiTheme="majorHAnsi" w:eastAsia="Times New Roman" w:hAnsiTheme="majorHAnsi" w:cstheme="majorHAnsi"/>
          <w:kern w:val="0"/>
          <w14:ligatures w14:val="none"/>
        </w:rPr>
      </w:pPr>
    </w:p>
    <w:p w14:paraId="1CFC28B2" w14:textId="77777777" w:rsidR="00793E03" w:rsidRPr="00793E03" w:rsidRDefault="00793E03" w:rsidP="00793E03">
      <w:pPr>
        <w:pStyle w:val="Heading2"/>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t>Flow-Through Column Experiments (Long-Term Reductive Capacity)</w:t>
      </w:r>
    </w:p>
    <w:p w14:paraId="3952C795" w14:textId="0B686B72" w:rsidR="00006F65" w:rsidRPr="00793E03" w:rsidRDefault="00793E03" w:rsidP="00006F65">
      <w:pPr>
        <w:spacing w:after="0" w:line="240" w:lineRule="auto"/>
        <w:ind w:firstLine="72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Flow-through columns were operated for up to four months using either granular high-purity ZVI or nanoscale ZVI (</w:t>
      </w:r>
      <w:proofErr w:type="spellStart"/>
      <w:r w:rsidRPr="00793E03">
        <w:rPr>
          <w:rFonts w:asciiTheme="majorHAnsi" w:eastAsia="Times New Roman" w:hAnsiTheme="majorHAnsi" w:cstheme="majorHAnsi"/>
          <w:kern w:val="0"/>
          <w14:ligatures w14:val="none"/>
        </w:rPr>
        <w:t>nZVI</w:t>
      </w:r>
      <w:proofErr w:type="spellEnd"/>
      <w:r w:rsidRPr="00793E03">
        <w:rPr>
          <w:rFonts w:asciiTheme="majorHAnsi" w:eastAsia="Times New Roman" w:hAnsiTheme="majorHAnsi" w:cstheme="majorHAnsi"/>
          <w:kern w:val="0"/>
          <w14:ligatures w14:val="none"/>
        </w:rPr>
        <w:t xml:space="preserve">). Columns were continuously supplied with </w:t>
      </w:r>
      <w:r w:rsidR="00FD44BA">
        <w:rPr>
          <w:rFonts w:asciiTheme="majorHAnsi" w:eastAsia="Times New Roman" w:hAnsiTheme="majorHAnsi" w:cstheme="majorHAnsi"/>
          <w:kern w:val="0"/>
          <w14:ligatures w14:val="none"/>
        </w:rPr>
        <w:t>the same 1 mM NaCl solution</w:t>
      </w:r>
      <w:r w:rsidRPr="00793E03">
        <w:rPr>
          <w:rFonts w:asciiTheme="majorHAnsi" w:eastAsia="Times New Roman" w:hAnsiTheme="majorHAnsi" w:cstheme="majorHAnsi"/>
          <w:kern w:val="0"/>
          <w14:ligatures w14:val="none"/>
        </w:rPr>
        <w:t xml:space="preserve"> containing a low-concentration </w:t>
      </w:r>
      <w:proofErr w:type="gramStart"/>
      <w:r w:rsidRPr="00793E03">
        <w:rPr>
          <w:rFonts w:asciiTheme="majorHAnsi" w:eastAsia="Times New Roman" w:hAnsiTheme="majorHAnsi" w:cstheme="majorHAnsi"/>
          <w:kern w:val="0"/>
          <w14:ligatures w14:val="none"/>
        </w:rPr>
        <w:t>Cr(</w:t>
      </w:r>
      <w:proofErr w:type="gramEnd"/>
      <w:r w:rsidRPr="00793E03">
        <w:rPr>
          <w:rFonts w:asciiTheme="majorHAnsi" w:eastAsia="Times New Roman" w:hAnsiTheme="majorHAnsi" w:cstheme="majorHAnsi"/>
          <w:kern w:val="0"/>
          <w14:ligatures w14:val="none"/>
        </w:rPr>
        <w:t>VI) tracer to directly assess reduction capacity and breakthrough behavior</w:t>
      </w:r>
      <w:r w:rsidR="00226E22">
        <w:rPr>
          <w:rFonts w:asciiTheme="majorHAnsi" w:eastAsia="Times New Roman" w:hAnsiTheme="majorHAnsi" w:cstheme="majorHAnsi"/>
          <w:kern w:val="0"/>
          <w14:ligatures w14:val="none"/>
        </w:rPr>
        <w:t xml:space="preserve"> (Figure 2)</w:t>
      </w:r>
      <w:r w:rsidRPr="00793E03">
        <w:rPr>
          <w:rFonts w:asciiTheme="majorHAnsi" w:eastAsia="Times New Roman" w:hAnsiTheme="majorHAnsi" w:cstheme="majorHAnsi"/>
          <w:kern w:val="0"/>
          <w14:ligatures w14:val="none"/>
        </w:rPr>
        <w:t>. SIP monitoring was coupled with effluent chemistry and solid-phase characterization.</w:t>
      </w:r>
    </w:p>
    <w:p w14:paraId="7590BE81" w14:textId="3D2416F5" w:rsidR="00793E03" w:rsidRDefault="00793E03" w:rsidP="00793E03">
      <w:pPr>
        <w:spacing w:after="0" w:line="240" w:lineRule="auto"/>
        <w:rPr>
          <w:rFonts w:asciiTheme="majorHAnsi" w:eastAsia="Times New Roman" w:hAnsiTheme="majorHAnsi" w:cstheme="majorHAnsi"/>
          <w:b/>
          <w:bCs/>
          <w:kern w:val="0"/>
          <w14:ligatures w14:val="none"/>
        </w:rPr>
      </w:pPr>
    </w:p>
    <w:p w14:paraId="71918766" w14:textId="77777777" w:rsidR="00006F65" w:rsidRPr="0019008A" w:rsidRDefault="00006F65" w:rsidP="00006F65">
      <w:pPr>
        <w:keepNext/>
        <w:spacing w:after="0" w:line="480" w:lineRule="auto"/>
        <w:ind w:firstLine="720"/>
        <w:rPr>
          <w:rFonts w:cs="Times New Roman"/>
        </w:rPr>
      </w:pPr>
      <w:r w:rsidRPr="0019008A">
        <w:rPr>
          <w:rFonts w:cs="Times New Roman"/>
          <w:noProof/>
        </w:rPr>
        <w:drawing>
          <wp:inline distT="0" distB="0" distL="0" distR="0" wp14:anchorId="7C241984" wp14:editId="0FF3D8AA">
            <wp:extent cx="2768600" cy="1752600"/>
            <wp:effectExtent l="0" t="0" r="0" b="0"/>
            <wp:docPr id="601109541" name="Picture 5" descr="A close-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ircuit boar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8600" cy="1752600"/>
                    </a:xfrm>
                    <a:prstGeom prst="rect">
                      <a:avLst/>
                    </a:prstGeom>
                    <a:noFill/>
                    <a:ln>
                      <a:noFill/>
                    </a:ln>
                  </pic:spPr>
                </pic:pic>
              </a:graphicData>
            </a:graphic>
          </wp:inline>
        </w:drawing>
      </w:r>
      <w:r w:rsidRPr="0019008A">
        <w:rPr>
          <w:rFonts w:cs="Times New Roman"/>
        </w:rPr>
        <w:t xml:space="preserve"> </w:t>
      </w:r>
      <w:r w:rsidRPr="0019008A">
        <w:rPr>
          <w:rFonts w:cs="Times New Roman"/>
          <w:noProof/>
        </w:rPr>
        <w:drawing>
          <wp:inline distT="0" distB="0" distL="0" distR="0" wp14:anchorId="18CBA10A" wp14:editId="56EDC7B6">
            <wp:extent cx="1879600" cy="1768953"/>
            <wp:effectExtent l="0" t="0" r="0" b="0"/>
            <wp:docPr id="572570014" name="Picture 6" descr="A picture containing indoor, cluttered, work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570014" name="Picture 6" descr="A picture containing indoor, cluttered, work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3011" cy="1800397"/>
                    </a:xfrm>
                    <a:prstGeom prst="rect">
                      <a:avLst/>
                    </a:prstGeom>
                  </pic:spPr>
                </pic:pic>
              </a:graphicData>
            </a:graphic>
          </wp:inline>
        </w:drawing>
      </w:r>
      <w:r w:rsidRPr="0019008A">
        <w:rPr>
          <w:rFonts w:cs="Times New Roman"/>
        </w:rPr>
        <w:t xml:space="preserve"> </w:t>
      </w:r>
    </w:p>
    <w:p w14:paraId="127D0756" w14:textId="4654C8C2" w:rsidR="00006F65" w:rsidRPr="00793E03" w:rsidRDefault="00006F65" w:rsidP="00006F65">
      <w:pPr>
        <w:pStyle w:val="Caption"/>
        <w:spacing w:line="480" w:lineRule="auto"/>
        <w:rPr>
          <w:rFonts w:cs="Times New Roman"/>
          <w:i w:val="0"/>
          <w:iCs w:val="0"/>
          <w:color w:val="auto"/>
          <w:sz w:val="22"/>
          <w:szCs w:val="22"/>
        </w:rPr>
      </w:pPr>
      <w:bookmarkStart w:id="3" w:name="_Ref214558448"/>
      <w:bookmarkStart w:id="4" w:name="_Toc216424750"/>
      <w:r w:rsidRPr="00CD4204">
        <w:rPr>
          <w:rFonts w:cs="Times New Roman"/>
          <w:b/>
          <w:bCs/>
          <w:i w:val="0"/>
          <w:iCs w:val="0"/>
          <w:color w:val="auto"/>
          <w:sz w:val="22"/>
          <w:szCs w:val="22"/>
        </w:rPr>
        <w:t xml:space="preserve">Figure </w:t>
      </w:r>
      <w:bookmarkEnd w:id="3"/>
      <w:r>
        <w:rPr>
          <w:rFonts w:cs="Times New Roman"/>
          <w:b/>
          <w:bCs/>
          <w:i w:val="0"/>
          <w:iCs w:val="0"/>
          <w:color w:val="auto"/>
          <w:sz w:val="22"/>
          <w:szCs w:val="22"/>
        </w:rPr>
        <w:t>2</w:t>
      </w:r>
      <w:r w:rsidRPr="00CD4204">
        <w:rPr>
          <w:rFonts w:cs="Times New Roman"/>
          <w:b/>
          <w:bCs/>
          <w:i w:val="0"/>
          <w:iCs w:val="0"/>
          <w:color w:val="auto"/>
          <w:sz w:val="22"/>
          <w:szCs w:val="22"/>
        </w:rPr>
        <w:t>:</w:t>
      </w:r>
      <w:r w:rsidRPr="00D022D3">
        <w:rPr>
          <w:rFonts w:cs="Times New Roman"/>
          <w:i w:val="0"/>
          <w:iCs w:val="0"/>
          <w:color w:val="auto"/>
          <w:sz w:val="22"/>
          <w:szCs w:val="22"/>
        </w:rPr>
        <w:t xml:space="preserve"> Example of a portable SIP unit (</w:t>
      </w:r>
      <w:r w:rsidRPr="00D022D3">
        <w:rPr>
          <w:rFonts w:cs="Times New Roman"/>
          <w:color w:val="auto"/>
          <w:sz w:val="22"/>
          <w:szCs w:val="22"/>
        </w:rPr>
        <w:t>left</w:t>
      </w:r>
      <w:r w:rsidRPr="00D022D3">
        <w:rPr>
          <w:rFonts w:cs="Times New Roman"/>
          <w:i w:val="0"/>
          <w:iCs w:val="0"/>
          <w:color w:val="auto"/>
          <w:sz w:val="22"/>
          <w:szCs w:val="22"/>
        </w:rPr>
        <w:t>) and the full flow column setup (</w:t>
      </w:r>
      <w:r w:rsidRPr="00D022D3">
        <w:rPr>
          <w:rFonts w:cs="Times New Roman"/>
          <w:color w:val="auto"/>
          <w:sz w:val="22"/>
          <w:szCs w:val="22"/>
        </w:rPr>
        <w:t>right</w:t>
      </w:r>
      <w:r w:rsidRPr="00D022D3">
        <w:rPr>
          <w:rFonts w:cs="Times New Roman"/>
          <w:i w:val="0"/>
          <w:iCs w:val="0"/>
          <w:color w:val="auto"/>
          <w:sz w:val="22"/>
          <w:szCs w:val="22"/>
        </w:rPr>
        <w:t>).</w:t>
      </w:r>
      <w:bookmarkEnd w:id="4"/>
    </w:p>
    <w:p w14:paraId="4CE95991" w14:textId="77777777" w:rsidR="00793E03" w:rsidRPr="00793E03" w:rsidRDefault="00793E03" w:rsidP="00793E03">
      <w:pPr>
        <w:pStyle w:val="Heading2"/>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t>Materials Characterization and SIP Measurements</w:t>
      </w:r>
    </w:p>
    <w:p w14:paraId="2F1DEF83" w14:textId="77777777" w:rsidR="00793E03" w:rsidRPr="00793E03" w:rsidRDefault="00793E03" w:rsidP="00793E03">
      <w:pPr>
        <w:spacing w:after="0" w:line="240" w:lineRule="auto"/>
        <w:ind w:firstLine="72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ZVI materials were characterized before and after experiments using particle size analysis, specific surface area (SSA), powder X-ray diffraction, X-ray magnetic circular dichroism (XMCD), Mössbauer spectroscopy, magnetic susceptibility measurements, and X-ray computed tomography (XCT) for porosity assessment in flow columns.</w:t>
      </w:r>
    </w:p>
    <w:p w14:paraId="2A7A3448" w14:textId="0F76F63E" w:rsidR="00793E03" w:rsidRPr="00793E03" w:rsidRDefault="00793E03" w:rsidP="00793E03">
      <w:pPr>
        <w:spacing w:after="0" w:line="240" w:lineRule="auto"/>
        <w:ind w:firstLine="72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SIP measurements were collected over a broad frequency range and processed to extract key parameters including phase shift (ϕ), real conductivity (σ′), peak phase frequency (</w:t>
      </w:r>
      <m:oMath>
        <m:sSub>
          <m:sSubPr>
            <m:ctrlPr>
              <w:rPr>
                <w:rFonts w:ascii="Cambria Math" w:eastAsia="Times New Roman" w:hAnsi="Cambria Math" w:cstheme="majorHAnsi"/>
                <w:i/>
                <w:kern w:val="0"/>
                <w14:ligatures w14:val="none"/>
              </w:rPr>
            </m:ctrlPr>
          </m:sSubPr>
          <m:e>
            <m:r>
              <w:rPr>
                <w:rFonts w:ascii="Cambria Math" w:eastAsia="Times New Roman" w:hAnsi="Cambria Math" w:cstheme="majorHAnsi"/>
                <w:kern w:val="0"/>
                <w14:ligatures w14:val="none"/>
              </w:rPr>
              <m:t>f</m:t>
            </m:r>
          </m:e>
          <m:sub>
            <m:r>
              <w:rPr>
                <w:rFonts w:ascii="Cambria Math" w:eastAsia="Times New Roman" w:hAnsi="Cambria Math" w:cstheme="majorHAnsi"/>
                <w:kern w:val="0"/>
                <w14:ligatures w14:val="none"/>
              </w:rPr>
              <m:t>p</m:t>
            </m:r>
          </m:sub>
        </m:sSub>
      </m:oMath>
      <w:r w:rsidRPr="00793E03">
        <w:rPr>
          <w:rFonts w:asciiTheme="majorHAnsi" w:eastAsia="Times New Roman" w:hAnsiTheme="majorHAnsi" w:cstheme="majorHAnsi"/>
          <w:kern w:val="0"/>
          <w14:ligatures w14:val="none"/>
        </w:rPr>
        <w:t>), total chargeability (</w:t>
      </w:r>
      <w:r w:rsidRPr="00793E03">
        <w:rPr>
          <w:rFonts w:asciiTheme="majorHAnsi" w:eastAsia="Times New Roman" w:hAnsiTheme="majorHAnsi" w:cstheme="majorHAnsi"/>
          <w:i/>
          <w:iCs/>
          <w:kern w:val="0"/>
          <w14:ligatures w14:val="none"/>
        </w:rPr>
        <w:t>m</w:t>
      </w:r>
      <w:r w:rsidRPr="00793E03">
        <w:rPr>
          <w:rFonts w:asciiTheme="majorHAnsi" w:eastAsia="Times New Roman" w:hAnsiTheme="majorHAnsi" w:cstheme="majorHAnsi"/>
          <w:kern w:val="0"/>
          <w14:ligatures w14:val="none"/>
        </w:rPr>
        <w:t>), and normalized chargeability (</w:t>
      </w:r>
      <w:r w:rsidRPr="00793E03">
        <w:rPr>
          <w:rFonts w:asciiTheme="majorHAnsi" w:eastAsia="Times New Roman" w:hAnsiTheme="majorHAnsi" w:cstheme="majorHAnsi"/>
          <w:i/>
          <w:iCs/>
          <w:kern w:val="0"/>
          <w14:ligatures w14:val="none"/>
        </w:rPr>
        <w:t>mₙ</w:t>
      </w:r>
      <w:r w:rsidRPr="00793E03">
        <w:rPr>
          <w:rFonts w:asciiTheme="majorHAnsi" w:eastAsia="Times New Roman" w:hAnsiTheme="majorHAnsi" w:cstheme="majorHAnsi"/>
          <w:kern w:val="0"/>
          <w14:ligatures w14:val="none"/>
        </w:rPr>
        <w:t>). These parameters were interpreted in the context of existing theoretical relationships and empirical models linking SIP responses to particle size, volume fraction, and interfacial electrochemistry.</w:t>
      </w:r>
    </w:p>
    <w:p w14:paraId="2D3470C5" w14:textId="3568C8EE" w:rsidR="00793E03" w:rsidRPr="00793E03" w:rsidRDefault="00793E03" w:rsidP="00793E03">
      <w:pPr>
        <w:spacing w:after="0" w:line="240" w:lineRule="auto"/>
        <w:rPr>
          <w:rFonts w:asciiTheme="majorHAnsi" w:eastAsia="Times New Roman" w:hAnsiTheme="majorHAnsi" w:cstheme="majorHAnsi"/>
          <w:kern w:val="0"/>
          <w14:ligatures w14:val="none"/>
        </w:rPr>
      </w:pPr>
    </w:p>
    <w:p w14:paraId="4FD6FB66" w14:textId="77777777" w:rsidR="00793E03" w:rsidRPr="00793E03" w:rsidRDefault="00793E03" w:rsidP="00793E03">
      <w:pPr>
        <w:pStyle w:val="Heading1"/>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t>Key Results</w:t>
      </w:r>
    </w:p>
    <w:p w14:paraId="05775CFD" w14:textId="77777777" w:rsidR="00793E03" w:rsidRPr="00793E03" w:rsidRDefault="00793E03" w:rsidP="00793E03">
      <w:pPr>
        <w:pStyle w:val="Heading2"/>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t>Sensitivity of SIP to Particle Size and Material Purity</w:t>
      </w:r>
    </w:p>
    <w:p w14:paraId="4F36FCB9" w14:textId="57E31982" w:rsidR="00793E03" w:rsidRPr="00793E03" w:rsidRDefault="00793E03" w:rsidP="00793E03">
      <w:pPr>
        <w:spacing w:after="0" w:line="240" w:lineRule="auto"/>
        <w:ind w:firstLine="72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Static column experiments demonstrated that ZVI-amended columns produced phase responses more than two orders of magnitude greater than silica sand controls, confirming SIP’s sensitivity to electron-conducting materials</w:t>
      </w:r>
      <w:r w:rsidR="00226E22">
        <w:rPr>
          <w:rFonts w:asciiTheme="majorHAnsi" w:eastAsia="Times New Roman" w:hAnsiTheme="majorHAnsi" w:cstheme="majorHAnsi"/>
          <w:kern w:val="0"/>
          <w14:ligatures w14:val="none"/>
        </w:rPr>
        <w:t xml:space="preserve"> (Figure 3a)</w:t>
      </w:r>
      <w:r w:rsidRPr="00793E03">
        <w:rPr>
          <w:rFonts w:asciiTheme="majorHAnsi" w:eastAsia="Times New Roman" w:hAnsiTheme="majorHAnsi" w:cstheme="majorHAnsi"/>
          <w:kern w:val="0"/>
          <w14:ligatures w14:val="none"/>
        </w:rPr>
        <w:t>.</w:t>
      </w:r>
    </w:p>
    <w:p w14:paraId="368DA13E" w14:textId="77777777" w:rsidR="00006F65" w:rsidRDefault="00006F65" w:rsidP="00793E03">
      <w:pPr>
        <w:spacing w:after="0" w:line="240" w:lineRule="auto"/>
        <w:ind w:firstLine="360"/>
        <w:rPr>
          <w:rFonts w:asciiTheme="majorHAnsi" w:eastAsia="Times New Roman" w:hAnsiTheme="majorHAnsi" w:cstheme="majorHAnsi"/>
          <w:b/>
          <w:bCs/>
          <w:kern w:val="0"/>
          <w14:ligatures w14:val="none"/>
        </w:rPr>
      </w:pPr>
    </w:p>
    <w:p w14:paraId="6C276A5C" w14:textId="77777777" w:rsidR="00006F65" w:rsidRDefault="00006F65" w:rsidP="00006F65">
      <w:pPr>
        <w:spacing w:line="480" w:lineRule="auto"/>
        <w:ind w:firstLine="720"/>
        <w:rPr>
          <w:rFonts w:cs="Times New Roman"/>
        </w:rPr>
      </w:pPr>
      <w:r w:rsidRPr="0019008A">
        <w:rPr>
          <w:rFonts w:cs="Times New Roman"/>
          <w:noProof/>
        </w:rPr>
        <w:lastRenderedPageBreak/>
        <w:drawing>
          <wp:inline distT="0" distB="0" distL="0" distR="0" wp14:anchorId="61F40304" wp14:editId="69248E09">
            <wp:extent cx="4572000" cy="3048000"/>
            <wp:effectExtent l="0" t="0" r="0" b="0"/>
            <wp:docPr id="29309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9064" name="Picture 29309064"/>
                    <pic:cNvPicPr/>
                  </pic:nvPicPr>
                  <pic:blipFill>
                    <a:blip r:embed="rId12"/>
                    <a:stretch>
                      <a:fillRect/>
                    </a:stretch>
                  </pic:blipFill>
                  <pic:spPr>
                    <a:xfrm>
                      <a:off x="0" y="0"/>
                      <a:ext cx="4572000" cy="3048000"/>
                    </a:xfrm>
                    <a:prstGeom prst="rect">
                      <a:avLst/>
                    </a:prstGeom>
                  </pic:spPr>
                </pic:pic>
              </a:graphicData>
            </a:graphic>
          </wp:inline>
        </w:drawing>
      </w:r>
    </w:p>
    <w:p w14:paraId="3F284EB2" w14:textId="77777777" w:rsidR="00006F65" w:rsidRDefault="00006F65" w:rsidP="00006F65">
      <w:pPr>
        <w:pStyle w:val="Caption"/>
        <w:jc w:val="center"/>
        <w:rPr>
          <w:rFonts w:cs="Times New Roman"/>
          <w:b/>
          <w:bCs/>
          <w:i w:val="0"/>
          <w:iCs w:val="0"/>
          <w:color w:val="auto"/>
          <w:sz w:val="22"/>
          <w:szCs w:val="22"/>
        </w:rPr>
      </w:pPr>
      <w:bookmarkStart w:id="5" w:name="_Ref214559012"/>
      <w:bookmarkStart w:id="6" w:name="_Toc216424752"/>
      <w:r w:rsidRPr="0019008A">
        <w:rPr>
          <w:rFonts w:cs="Times New Roman"/>
          <w:noProof/>
        </w:rPr>
        <w:drawing>
          <wp:inline distT="0" distB="0" distL="0" distR="0" wp14:anchorId="3A69EA74" wp14:editId="0C542F4C">
            <wp:extent cx="4572000" cy="3048000"/>
            <wp:effectExtent l="0" t="0" r="0" b="0"/>
            <wp:docPr id="5777805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80527" name="Picture 577780527"/>
                    <pic:cNvPicPr/>
                  </pic:nvPicPr>
                  <pic:blipFill>
                    <a:blip r:embed="rId13"/>
                    <a:stretch>
                      <a:fillRect/>
                    </a:stretch>
                  </pic:blipFill>
                  <pic:spPr>
                    <a:xfrm>
                      <a:off x="0" y="0"/>
                      <a:ext cx="4572000" cy="3048000"/>
                    </a:xfrm>
                    <a:prstGeom prst="rect">
                      <a:avLst/>
                    </a:prstGeom>
                  </pic:spPr>
                </pic:pic>
              </a:graphicData>
            </a:graphic>
          </wp:inline>
        </w:drawing>
      </w:r>
    </w:p>
    <w:p w14:paraId="3EAB28AD" w14:textId="542ACDC6" w:rsidR="00006F65" w:rsidRPr="00006F65" w:rsidRDefault="00006F65" w:rsidP="00006F65">
      <w:pPr>
        <w:pStyle w:val="Caption"/>
        <w:rPr>
          <w:rFonts w:cs="Times New Roman"/>
          <w:i w:val="0"/>
          <w:iCs w:val="0"/>
          <w:color w:val="auto"/>
          <w:sz w:val="22"/>
          <w:szCs w:val="22"/>
        </w:rPr>
      </w:pPr>
      <w:r w:rsidRPr="00CD4204">
        <w:rPr>
          <w:rFonts w:cs="Times New Roman"/>
          <w:b/>
          <w:bCs/>
          <w:i w:val="0"/>
          <w:iCs w:val="0"/>
          <w:color w:val="auto"/>
          <w:sz w:val="22"/>
          <w:szCs w:val="22"/>
        </w:rPr>
        <w:t xml:space="preserve">Figure </w:t>
      </w:r>
      <w:bookmarkEnd w:id="5"/>
      <w:r>
        <w:rPr>
          <w:rFonts w:cs="Times New Roman"/>
          <w:b/>
          <w:bCs/>
          <w:i w:val="0"/>
          <w:iCs w:val="0"/>
          <w:color w:val="auto"/>
          <w:sz w:val="22"/>
          <w:szCs w:val="22"/>
        </w:rPr>
        <w:t>3</w:t>
      </w:r>
      <w:r w:rsidRPr="00CD4204">
        <w:rPr>
          <w:rFonts w:cs="Times New Roman"/>
          <w:b/>
          <w:bCs/>
          <w:i w:val="0"/>
          <w:iCs w:val="0"/>
          <w:color w:val="auto"/>
          <w:sz w:val="22"/>
          <w:szCs w:val="22"/>
        </w:rPr>
        <w:t>:</w:t>
      </w:r>
      <w:r>
        <w:rPr>
          <w:rFonts w:cs="Times New Roman"/>
          <w:i w:val="0"/>
          <w:iCs w:val="0"/>
          <w:color w:val="auto"/>
          <w:sz w:val="22"/>
          <w:szCs w:val="22"/>
        </w:rPr>
        <w:t xml:space="preserve"> </w:t>
      </w:r>
      <w:r w:rsidRPr="00B22449">
        <w:rPr>
          <w:rFonts w:cs="Times New Roman"/>
          <w:i w:val="0"/>
          <w:iCs w:val="0"/>
          <w:color w:val="auto"/>
          <w:sz w:val="22"/>
          <w:szCs w:val="22"/>
        </w:rPr>
        <w:t>The day one SIP results for the ZVI size fractions (3.6 vol.% ZVI in 19</w:t>
      </w:r>
      <w:r w:rsidR="00814A82">
        <w:rPr>
          <w:rFonts w:cs="Times New Roman"/>
          <w:i w:val="0"/>
          <w:iCs w:val="0"/>
          <w:color w:val="auto"/>
          <w:sz w:val="22"/>
          <w:szCs w:val="22"/>
        </w:rPr>
        <w:t>.</w:t>
      </w:r>
      <w:r w:rsidRPr="00B22449">
        <w:rPr>
          <w:rFonts w:cs="Times New Roman"/>
          <w:i w:val="0"/>
          <w:iCs w:val="0"/>
          <w:color w:val="auto"/>
          <w:sz w:val="22"/>
          <w:szCs w:val="22"/>
        </w:rPr>
        <w:t xml:space="preserve">62 </w:t>
      </w:r>
      <w:r w:rsidR="00814A82">
        <w:rPr>
          <w:rFonts w:cs="Times New Roman"/>
          <w:i w:val="0"/>
          <w:iCs w:val="0"/>
          <w:color w:val="auto"/>
          <w:sz w:val="22"/>
          <w:szCs w:val="22"/>
        </w:rPr>
        <w:t>m</w:t>
      </w:r>
      <w:r w:rsidRPr="00B22449">
        <w:rPr>
          <w:rFonts w:cs="Times New Roman"/>
          <w:i w:val="0"/>
          <w:iCs w:val="0"/>
          <w:color w:val="auto"/>
          <w:sz w:val="22"/>
          <w:szCs w:val="22"/>
        </w:rPr>
        <w:t xml:space="preserve">S/m solution) for (a) phase shift </w:t>
      </w:r>
      <m:oMath>
        <m:r>
          <w:rPr>
            <w:rFonts w:ascii="Cambria Math" w:hAnsi="Cambria Math" w:cs="Times New Roman"/>
            <w:color w:val="auto"/>
            <w:sz w:val="22"/>
            <w:szCs w:val="22"/>
          </w:rPr>
          <m:t>ϕ</m:t>
        </m:r>
      </m:oMath>
      <w:r w:rsidRPr="00B22449">
        <w:rPr>
          <w:rFonts w:cs="Times New Roman"/>
          <w:i w:val="0"/>
          <w:iCs w:val="0"/>
          <w:color w:val="auto"/>
          <w:sz w:val="22"/>
          <w:szCs w:val="22"/>
        </w:rPr>
        <w:t xml:space="preserve"> in mrad over the frequency range with a log-scale on the x-axis and (b) the relaxation time (</w:t>
      </w:r>
      <m:oMath>
        <m:r>
          <w:rPr>
            <w:rFonts w:ascii="Cambria Math" w:hAnsi="Cambria Math" w:cs="Times New Roman"/>
            <w:color w:val="auto"/>
            <w:sz w:val="22"/>
            <w:szCs w:val="22"/>
          </w:rPr>
          <m:t>τ in seconds</m:t>
        </m:r>
      </m:oMath>
      <w:r w:rsidRPr="00B22449">
        <w:rPr>
          <w:rFonts w:cs="Times New Roman"/>
          <w:i w:val="0"/>
          <w:iCs w:val="0"/>
          <w:color w:val="auto"/>
          <w:sz w:val="22"/>
          <w:szCs w:val="22"/>
        </w:rPr>
        <w:t>) versus particle radius squared divided by solution conductivity for the Alfa Aesar material</w:t>
      </w:r>
      <w:r w:rsidR="00F947CF">
        <w:rPr>
          <w:rFonts w:cs="Times New Roman"/>
          <w:i w:val="0"/>
          <w:iCs w:val="0"/>
          <w:color w:val="auto"/>
          <w:sz w:val="22"/>
          <w:szCs w:val="22"/>
        </w:rPr>
        <w:t xml:space="preserve"> fit to the empirical relationship established in Gurin et. al 2015</w:t>
      </w:r>
      <w:r w:rsidRPr="00B22449">
        <w:rPr>
          <w:rFonts w:cs="Times New Roman"/>
          <w:i w:val="0"/>
          <w:iCs w:val="0"/>
          <w:color w:val="auto"/>
          <w:sz w:val="22"/>
          <w:szCs w:val="22"/>
        </w:rPr>
        <w:t>.</w:t>
      </w:r>
      <w:bookmarkEnd w:id="6"/>
    </w:p>
    <w:p w14:paraId="1F892A45" w14:textId="77777777" w:rsidR="00006F65" w:rsidRDefault="00006F65" w:rsidP="00793E03">
      <w:pPr>
        <w:spacing w:after="0" w:line="240" w:lineRule="auto"/>
        <w:ind w:firstLine="360"/>
        <w:rPr>
          <w:rFonts w:asciiTheme="majorHAnsi" w:eastAsia="Times New Roman" w:hAnsiTheme="majorHAnsi" w:cstheme="majorHAnsi"/>
          <w:b/>
          <w:bCs/>
          <w:kern w:val="0"/>
          <w14:ligatures w14:val="none"/>
        </w:rPr>
      </w:pPr>
    </w:p>
    <w:p w14:paraId="14CDD045" w14:textId="70FD255D" w:rsidR="00793E03" w:rsidRPr="00793E03" w:rsidRDefault="00793E03" w:rsidP="00793E03">
      <w:pPr>
        <w:spacing w:after="0" w:line="240" w:lineRule="auto"/>
        <w:ind w:firstLine="36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Smaller ZVI particles exhibited shorter relaxation times and larger initial polarization responses, consistent with theory linking polarization length scales to grain size</w:t>
      </w:r>
      <w:r w:rsidR="00226E22">
        <w:rPr>
          <w:rFonts w:asciiTheme="majorHAnsi" w:eastAsia="Times New Roman" w:hAnsiTheme="majorHAnsi" w:cstheme="majorHAnsi"/>
          <w:kern w:val="0"/>
          <w14:ligatures w14:val="none"/>
        </w:rPr>
        <w:t xml:space="preserve"> (Figure 3b)</w:t>
      </w:r>
      <w:r w:rsidRPr="00793E03">
        <w:rPr>
          <w:rFonts w:asciiTheme="majorHAnsi" w:eastAsia="Times New Roman" w:hAnsiTheme="majorHAnsi" w:cstheme="majorHAnsi"/>
          <w:kern w:val="0"/>
          <w14:ligatures w14:val="none"/>
        </w:rPr>
        <w:t>. However, deviations from idealized models were observed, particularly</w:t>
      </w:r>
      <w:r w:rsidR="00006F65">
        <w:rPr>
          <w:rFonts w:asciiTheme="majorHAnsi" w:eastAsia="Times New Roman" w:hAnsiTheme="majorHAnsi" w:cstheme="majorHAnsi"/>
          <w:kern w:val="0"/>
          <w14:ligatures w14:val="none"/>
        </w:rPr>
        <w:t xml:space="preserve"> as initial material purity varied and</w:t>
      </w:r>
      <w:r w:rsidRPr="00793E03">
        <w:rPr>
          <w:rFonts w:asciiTheme="majorHAnsi" w:eastAsia="Times New Roman" w:hAnsiTheme="majorHAnsi" w:cstheme="majorHAnsi"/>
          <w:kern w:val="0"/>
          <w14:ligatures w14:val="none"/>
        </w:rPr>
        <w:t xml:space="preserve"> as corrosion progressed.</w:t>
      </w:r>
    </w:p>
    <w:p w14:paraId="36BBA02A" w14:textId="77777777" w:rsidR="00793E03" w:rsidRPr="00793E03" w:rsidRDefault="00793E03" w:rsidP="00793E03">
      <w:pPr>
        <w:pStyle w:val="Heading2"/>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lastRenderedPageBreak/>
        <w:t>Temporal Evolution of SIP During Corrosion</w:t>
      </w:r>
    </w:p>
    <w:p w14:paraId="56FC2E78" w14:textId="0B9832A6" w:rsidR="00793E03" w:rsidRPr="00793E03" w:rsidRDefault="00793E03" w:rsidP="00793E03">
      <w:pPr>
        <w:spacing w:after="0" w:line="240" w:lineRule="auto"/>
        <w:ind w:firstLine="72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All ZVI materials exhibited an initial increase in phase magnitude within the first day, followed by divergent behavior over two weeks</w:t>
      </w:r>
      <w:r w:rsidR="00226E22">
        <w:rPr>
          <w:rFonts w:asciiTheme="majorHAnsi" w:eastAsia="Times New Roman" w:hAnsiTheme="majorHAnsi" w:cstheme="majorHAnsi"/>
          <w:kern w:val="0"/>
          <w14:ligatures w14:val="none"/>
        </w:rPr>
        <w:t xml:space="preserve"> (Figure 4a)</w:t>
      </w:r>
      <w:r w:rsidRPr="00793E03">
        <w:rPr>
          <w:rFonts w:asciiTheme="majorHAnsi" w:eastAsia="Times New Roman" w:hAnsiTheme="majorHAnsi" w:cstheme="majorHAnsi"/>
          <w:kern w:val="0"/>
          <w14:ligatures w14:val="none"/>
        </w:rPr>
        <w:t>. The smallest ZVI fraction showed a pronounced decline in phase magnitude and shifts in relaxation time, while larger particles and lower-purity materials remained relatively stable.</w:t>
      </w:r>
    </w:p>
    <w:p w14:paraId="172EA3DA" w14:textId="77777777" w:rsidR="00006F65" w:rsidRDefault="00006F65" w:rsidP="00793E03">
      <w:pPr>
        <w:spacing w:after="0" w:line="240" w:lineRule="auto"/>
        <w:ind w:firstLine="360"/>
        <w:rPr>
          <w:rFonts w:asciiTheme="majorHAnsi" w:eastAsia="Times New Roman" w:hAnsiTheme="majorHAnsi" w:cstheme="majorHAnsi"/>
          <w:b/>
          <w:bCs/>
          <w:kern w:val="0"/>
          <w14:ligatures w14:val="none"/>
        </w:rPr>
      </w:pPr>
    </w:p>
    <w:p w14:paraId="571B212C" w14:textId="68DBB995" w:rsidR="00006F65" w:rsidRPr="0019008A" w:rsidRDefault="00006F65" w:rsidP="00006F65">
      <w:pPr>
        <w:spacing w:line="480" w:lineRule="auto"/>
        <w:jc w:val="center"/>
        <w:rPr>
          <w:rFonts w:cs="Times New Roman"/>
        </w:rPr>
      </w:pPr>
      <w:r w:rsidRPr="0019008A">
        <w:rPr>
          <w:rFonts w:cs="Times New Roman"/>
          <w:noProof/>
        </w:rPr>
        <w:drawing>
          <wp:inline distT="0" distB="0" distL="0" distR="0" wp14:anchorId="61DFA177" wp14:editId="5B423A61">
            <wp:extent cx="4572000" cy="3048000"/>
            <wp:effectExtent l="0" t="0" r="0" b="0"/>
            <wp:docPr id="10403961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37402" name="Picture 1636937402"/>
                    <pic:cNvPicPr/>
                  </pic:nvPicPr>
                  <pic:blipFill>
                    <a:blip r:embed="rId14"/>
                    <a:stretch>
                      <a:fillRect/>
                    </a:stretch>
                  </pic:blipFill>
                  <pic:spPr>
                    <a:xfrm>
                      <a:off x="0" y="0"/>
                      <a:ext cx="4572000" cy="3048000"/>
                    </a:xfrm>
                    <a:prstGeom prst="rect">
                      <a:avLst/>
                    </a:prstGeom>
                  </pic:spPr>
                </pic:pic>
              </a:graphicData>
            </a:graphic>
          </wp:inline>
        </w:drawing>
      </w:r>
    </w:p>
    <w:p w14:paraId="46D4842E" w14:textId="64864A9B" w:rsidR="00006F65" w:rsidRPr="0020600D" w:rsidRDefault="00006F65" w:rsidP="00006F65">
      <w:pPr>
        <w:pStyle w:val="Caption"/>
        <w:rPr>
          <w:rFonts w:cs="Times New Roman"/>
          <w:i w:val="0"/>
          <w:iCs w:val="0"/>
          <w:color w:val="auto"/>
          <w:sz w:val="22"/>
          <w:szCs w:val="22"/>
        </w:rPr>
      </w:pPr>
      <w:bookmarkStart w:id="7" w:name="_Ref214559183"/>
      <w:bookmarkStart w:id="8" w:name="_Toc216424753"/>
      <w:r w:rsidRPr="00CD4204">
        <w:rPr>
          <w:rFonts w:cs="Times New Roman"/>
          <w:b/>
          <w:bCs/>
          <w:i w:val="0"/>
          <w:iCs w:val="0"/>
          <w:color w:val="auto"/>
          <w:sz w:val="22"/>
          <w:szCs w:val="22"/>
        </w:rPr>
        <w:t xml:space="preserve">Figure </w:t>
      </w:r>
      <w:bookmarkEnd w:id="7"/>
      <w:r>
        <w:rPr>
          <w:rFonts w:cs="Times New Roman"/>
          <w:b/>
          <w:bCs/>
          <w:i w:val="0"/>
          <w:iCs w:val="0"/>
          <w:color w:val="auto"/>
          <w:sz w:val="22"/>
          <w:szCs w:val="22"/>
        </w:rPr>
        <w:t>4</w:t>
      </w:r>
      <w:r w:rsidRPr="00CD4204">
        <w:rPr>
          <w:rFonts w:cs="Times New Roman"/>
          <w:b/>
          <w:bCs/>
          <w:i w:val="0"/>
          <w:iCs w:val="0"/>
          <w:color w:val="auto"/>
          <w:sz w:val="22"/>
          <w:szCs w:val="22"/>
        </w:rPr>
        <w:t>:</w:t>
      </w:r>
      <w:r>
        <w:rPr>
          <w:rFonts w:cs="Times New Roman"/>
          <w:i w:val="0"/>
          <w:iCs w:val="0"/>
          <w:color w:val="auto"/>
          <w:sz w:val="22"/>
          <w:szCs w:val="22"/>
        </w:rPr>
        <w:t xml:space="preserve"> </w:t>
      </w:r>
      <w:r w:rsidR="00226E22">
        <w:rPr>
          <w:rFonts w:cs="Times New Roman"/>
          <w:i w:val="0"/>
          <w:iCs w:val="0"/>
          <w:color w:val="auto"/>
          <w:sz w:val="22"/>
          <w:szCs w:val="22"/>
        </w:rPr>
        <w:t xml:space="preserve">Phase shift in </w:t>
      </w:r>
      <w:proofErr w:type="spellStart"/>
      <w:r w:rsidR="00226E22">
        <w:rPr>
          <w:rFonts w:cs="Times New Roman"/>
          <w:i w:val="0"/>
          <w:iCs w:val="0"/>
          <w:color w:val="auto"/>
          <w:sz w:val="22"/>
          <w:szCs w:val="22"/>
        </w:rPr>
        <w:t>mrad</w:t>
      </w:r>
      <w:proofErr w:type="spellEnd"/>
      <w:r w:rsidRPr="00516F92">
        <w:rPr>
          <w:rFonts w:cs="Times New Roman"/>
          <w:i w:val="0"/>
          <w:iCs w:val="0"/>
          <w:color w:val="auto"/>
          <w:sz w:val="22"/>
          <w:szCs w:val="22"/>
        </w:rPr>
        <w:t xml:space="preserve"> for day zero, day one, and two-week SIP data for the largest high purity (Alfa </w:t>
      </w:r>
      <w:proofErr w:type="spellStart"/>
      <w:r w:rsidRPr="00516F92">
        <w:rPr>
          <w:rFonts w:cs="Times New Roman"/>
          <w:i w:val="0"/>
          <w:iCs w:val="0"/>
          <w:color w:val="auto"/>
          <w:sz w:val="22"/>
          <w:szCs w:val="22"/>
        </w:rPr>
        <w:t>Aesar</w:t>
      </w:r>
      <w:proofErr w:type="spellEnd"/>
      <w:r w:rsidRPr="00516F92">
        <w:rPr>
          <w:rFonts w:cs="Times New Roman"/>
          <w:i w:val="0"/>
          <w:iCs w:val="0"/>
          <w:color w:val="auto"/>
          <w:sz w:val="22"/>
          <w:szCs w:val="22"/>
        </w:rPr>
        <w:t xml:space="preserve">) size fraction (112.5 </w:t>
      </w:r>
      <w:proofErr w:type="spellStart"/>
      <w:r w:rsidRPr="00516F92">
        <w:rPr>
          <w:rFonts w:cs="Times New Roman"/>
          <w:i w:val="0"/>
          <w:iCs w:val="0"/>
          <w:color w:val="auto"/>
          <w:sz w:val="22"/>
          <w:szCs w:val="22"/>
        </w:rPr>
        <w:t>μm</w:t>
      </w:r>
      <w:proofErr w:type="spellEnd"/>
      <w:r w:rsidRPr="00516F92">
        <w:rPr>
          <w:rFonts w:cs="Times New Roman"/>
          <w:i w:val="0"/>
          <w:iCs w:val="0"/>
          <w:color w:val="auto"/>
          <w:sz w:val="22"/>
          <w:szCs w:val="22"/>
        </w:rPr>
        <w:t>), the comparably sized commercial material (</w:t>
      </w:r>
      <w:proofErr w:type="spellStart"/>
      <w:r w:rsidRPr="00516F92">
        <w:rPr>
          <w:rFonts w:cs="Times New Roman"/>
          <w:i w:val="0"/>
          <w:iCs w:val="0"/>
          <w:color w:val="auto"/>
          <w:sz w:val="22"/>
          <w:szCs w:val="22"/>
        </w:rPr>
        <w:t>Hepure</w:t>
      </w:r>
      <w:proofErr w:type="spellEnd"/>
      <w:r w:rsidRPr="00516F92">
        <w:rPr>
          <w:rFonts w:cs="Times New Roman"/>
          <w:i w:val="0"/>
          <w:iCs w:val="0"/>
          <w:color w:val="auto"/>
          <w:sz w:val="22"/>
          <w:szCs w:val="22"/>
        </w:rPr>
        <w:t xml:space="preserve">, 112.5 </w:t>
      </w:r>
      <w:proofErr w:type="spellStart"/>
      <w:r w:rsidRPr="00516F92">
        <w:rPr>
          <w:rFonts w:cs="Times New Roman"/>
          <w:i w:val="0"/>
          <w:iCs w:val="0"/>
          <w:color w:val="auto"/>
          <w:sz w:val="22"/>
          <w:szCs w:val="22"/>
        </w:rPr>
        <w:t>μm</w:t>
      </w:r>
      <w:proofErr w:type="spellEnd"/>
      <w:r w:rsidRPr="00516F92">
        <w:rPr>
          <w:rFonts w:cs="Times New Roman"/>
          <w:i w:val="0"/>
          <w:iCs w:val="0"/>
          <w:color w:val="auto"/>
          <w:sz w:val="22"/>
          <w:szCs w:val="22"/>
        </w:rPr>
        <w:t xml:space="preserve">), and the smallest size fraction (Alfa </w:t>
      </w:r>
      <w:proofErr w:type="spellStart"/>
      <w:r w:rsidRPr="00516F92">
        <w:rPr>
          <w:rFonts w:cs="Times New Roman"/>
          <w:i w:val="0"/>
          <w:iCs w:val="0"/>
          <w:color w:val="auto"/>
          <w:sz w:val="22"/>
          <w:szCs w:val="22"/>
        </w:rPr>
        <w:t>Aesar</w:t>
      </w:r>
      <w:proofErr w:type="spellEnd"/>
      <w:r w:rsidRPr="00516F92">
        <w:rPr>
          <w:rFonts w:cs="Times New Roman"/>
          <w:i w:val="0"/>
          <w:iCs w:val="0"/>
          <w:color w:val="auto"/>
          <w:sz w:val="22"/>
          <w:szCs w:val="22"/>
        </w:rPr>
        <w:t xml:space="preserve">, 34.6 </w:t>
      </w:r>
      <w:proofErr w:type="spellStart"/>
      <w:r w:rsidRPr="00516F92">
        <w:rPr>
          <w:rFonts w:cs="Times New Roman"/>
          <w:i w:val="0"/>
          <w:iCs w:val="0"/>
          <w:color w:val="auto"/>
          <w:sz w:val="22"/>
          <w:szCs w:val="22"/>
        </w:rPr>
        <w:t>μm</w:t>
      </w:r>
      <w:proofErr w:type="spellEnd"/>
      <w:r w:rsidRPr="00516F92">
        <w:rPr>
          <w:rFonts w:cs="Times New Roman"/>
          <w:i w:val="0"/>
          <w:iCs w:val="0"/>
          <w:color w:val="auto"/>
          <w:sz w:val="22"/>
          <w:szCs w:val="22"/>
        </w:rPr>
        <w:t>)</w:t>
      </w:r>
      <w:bookmarkEnd w:id="8"/>
      <w:r w:rsidR="00226E22">
        <w:rPr>
          <w:rFonts w:cs="Times New Roman"/>
          <w:i w:val="0"/>
          <w:iCs w:val="0"/>
          <w:color w:val="auto"/>
          <w:sz w:val="22"/>
          <w:szCs w:val="22"/>
        </w:rPr>
        <w:t>.</w:t>
      </w:r>
    </w:p>
    <w:p w14:paraId="3C942053" w14:textId="77777777" w:rsidR="00006F65" w:rsidRDefault="00006F65" w:rsidP="00006F65">
      <w:pPr>
        <w:spacing w:after="0" w:line="240" w:lineRule="auto"/>
        <w:rPr>
          <w:rFonts w:cs="Times New Roman"/>
          <w:b/>
          <w:bCs/>
          <w:sz w:val="22"/>
          <w:szCs w:val="22"/>
        </w:rPr>
      </w:pPr>
    </w:p>
    <w:p w14:paraId="2C807527" w14:textId="77777777" w:rsidR="00006F65" w:rsidRDefault="00006F65" w:rsidP="00006F65">
      <w:pPr>
        <w:spacing w:after="0" w:line="240" w:lineRule="auto"/>
        <w:rPr>
          <w:rFonts w:asciiTheme="majorHAnsi" w:eastAsia="Times New Roman" w:hAnsiTheme="majorHAnsi" w:cstheme="majorHAnsi"/>
          <w:b/>
          <w:bCs/>
          <w:kern w:val="0"/>
          <w14:ligatures w14:val="none"/>
        </w:rPr>
      </w:pPr>
    </w:p>
    <w:p w14:paraId="59F7B5AC" w14:textId="1B101AAD" w:rsidR="00793E03" w:rsidRDefault="00793E03" w:rsidP="00793E03">
      <w:pPr>
        <w:spacing w:after="0" w:line="240" w:lineRule="auto"/>
        <w:ind w:firstLine="36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These trends coincided with measured decreases in SSA and magnetic susceptibility, indicating oxidation of ZVI and formation of secondary iron oxides. While total chargeability remained relatively constant, normalized chargeability increased, highlighting the influence of evolving surface properties rather than simple loss of ZVI volume</w:t>
      </w:r>
      <w:r w:rsidR="00226E22">
        <w:rPr>
          <w:rFonts w:asciiTheme="majorHAnsi" w:eastAsia="Times New Roman" w:hAnsiTheme="majorHAnsi" w:cstheme="majorHAnsi"/>
          <w:kern w:val="0"/>
          <w14:ligatures w14:val="none"/>
        </w:rPr>
        <w:t xml:space="preserve"> (Figure 5)</w:t>
      </w:r>
      <w:r w:rsidRPr="00793E03">
        <w:rPr>
          <w:rFonts w:asciiTheme="majorHAnsi" w:eastAsia="Times New Roman" w:hAnsiTheme="majorHAnsi" w:cstheme="majorHAnsi"/>
          <w:kern w:val="0"/>
          <w14:ligatures w14:val="none"/>
        </w:rPr>
        <w:t>.</w:t>
      </w:r>
    </w:p>
    <w:p w14:paraId="46506ABA" w14:textId="77777777" w:rsidR="00006F65" w:rsidRDefault="00006F65" w:rsidP="00793E03">
      <w:pPr>
        <w:spacing w:after="0" w:line="240" w:lineRule="auto"/>
        <w:ind w:firstLine="360"/>
        <w:rPr>
          <w:rFonts w:asciiTheme="majorHAnsi" w:eastAsia="Times New Roman" w:hAnsiTheme="majorHAnsi" w:cstheme="majorHAnsi"/>
          <w:kern w:val="0"/>
          <w14:ligatures w14:val="none"/>
        </w:rPr>
      </w:pPr>
    </w:p>
    <w:p w14:paraId="7942F628" w14:textId="77777777" w:rsidR="00006F65" w:rsidRPr="0019008A" w:rsidRDefault="00006F65" w:rsidP="00006F65">
      <w:pPr>
        <w:spacing w:line="480" w:lineRule="auto"/>
        <w:jc w:val="center"/>
        <w:rPr>
          <w:rFonts w:cs="Times New Roman"/>
        </w:rPr>
      </w:pPr>
      <w:r w:rsidRPr="0019008A">
        <w:rPr>
          <w:rFonts w:cs="Times New Roman"/>
          <w:noProof/>
        </w:rPr>
        <w:lastRenderedPageBreak/>
        <w:drawing>
          <wp:inline distT="0" distB="0" distL="0" distR="0" wp14:anchorId="6EC12ED3" wp14:editId="042E45A6">
            <wp:extent cx="4572000" cy="3048000"/>
            <wp:effectExtent l="0" t="0" r="0" b="0"/>
            <wp:docPr id="12979456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45566" name="Picture 688645566"/>
                    <pic:cNvPicPr/>
                  </pic:nvPicPr>
                  <pic:blipFill>
                    <a:blip r:embed="rId15"/>
                    <a:stretch>
                      <a:fillRect/>
                    </a:stretch>
                  </pic:blipFill>
                  <pic:spPr>
                    <a:xfrm>
                      <a:off x="0" y="0"/>
                      <a:ext cx="4572000" cy="3048000"/>
                    </a:xfrm>
                    <a:prstGeom prst="rect">
                      <a:avLst/>
                    </a:prstGeom>
                  </pic:spPr>
                </pic:pic>
              </a:graphicData>
            </a:graphic>
          </wp:inline>
        </w:drawing>
      </w:r>
      <w:r w:rsidRPr="0019008A">
        <w:rPr>
          <w:rFonts w:cs="Times New Roman"/>
          <w:noProof/>
        </w:rPr>
        <w:drawing>
          <wp:inline distT="0" distB="0" distL="0" distR="0" wp14:anchorId="7E32A17B" wp14:editId="7769E404">
            <wp:extent cx="4572000" cy="3048000"/>
            <wp:effectExtent l="0" t="0" r="0" b="0"/>
            <wp:docPr id="8153847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738805" name="Picture 304738805"/>
                    <pic:cNvPicPr/>
                  </pic:nvPicPr>
                  <pic:blipFill>
                    <a:blip r:embed="rId16"/>
                    <a:stretch>
                      <a:fillRect/>
                    </a:stretch>
                  </pic:blipFill>
                  <pic:spPr>
                    <a:xfrm>
                      <a:off x="0" y="0"/>
                      <a:ext cx="4572000" cy="3048000"/>
                    </a:xfrm>
                    <a:prstGeom prst="rect">
                      <a:avLst/>
                    </a:prstGeom>
                  </pic:spPr>
                </pic:pic>
              </a:graphicData>
            </a:graphic>
          </wp:inline>
        </w:drawing>
      </w:r>
    </w:p>
    <w:p w14:paraId="18EA4762" w14:textId="754121B6" w:rsidR="00006F65" w:rsidRPr="0073759F" w:rsidRDefault="00006F65" w:rsidP="00006F65">
      <w:pPr>
        <w:pStyle w:val="Caption"/>
        <w:rPr>
          <w:rFonts w:cs="Times New Roman"/>
          <w:i w:val="0"/>
          <w:iCs w:val="0"/>
          <w:color w:val="auto"/>
          <w:sz w:val="22"/>
          <w:szCs w:val="22"/>
        </w:rPr>
      </w:pPr>
      <w:r w:rsidRPr="00CD4204">
        <w:rPr>
          <w:rFonts w:cs="Times New Roman"/>
          <w:b/>
          <w:bCs/>
          <w:i w:val="0"/>
          <w:iCs w:val="0"/>
          <w:color w:val="auto"/>
          <w:sz w:val="22"/>
          <w:szCs w:val="22"/>
        </w:rPr>
        <w:t xml:space="preserve">Figure </w:t>
      </w:r>
      <w:r>
        <w:rPr>
          <w:rFonts w:cs="Times New Roman"/>
          <w:b/>
          <w:bCs/>
          <w:i w:val="0"/>
          <w:iCs w:val="0"/>
          <w:color w:val="auto"/>
          <w:sz w:val="22"/>
          <w:szCs w:val="22"/>
        </w:rPr>
        <w:t>5</w:t>
      </w:r>
      <w:r w:rsidRPr="00CD4204">
        <w:rPr>
          <w:rFonts w:cs="Times New Roman"/>
          <w:b/>
          <w:bCs/>
          <w:i w:val="0"/>
          <w:iCs w:val="0"/>
          <w:color w:val="auto"/>
          <w:sz w:val="22"/>
          <w:szCs w:val="22"/>
        </w:rPr>
        <w:t>:</w:t>
      </w:r>
      <w:r>
        <w:rPr>
          <w:rFonts w:cs="Times New Roman"/>
          <w:i w:val="0"/>
          <w:iCs w:val="0"/>
          <w:color w:val="auto"/>
          <w:sz w:val="22"/>
          <w:szCs w:val="22"/>
        </w:rPr>
        <w:t xml:space="preserve"> </w:t>
      </w:r>
      <w:r w:rsidRPr="0073759F">
        <w:rPr>
          <w:rFonts w:cs="Times New Roman"/>
          <w:i w:val="0"/>
          <w:iCs w:val="0"/>
          <w:color w:val="auto"/>
          <w:sz w:val="22"/>
          <w:szCs w:val="22"/>
        </w:rPr>
        <w:t xml:space="preserve">SIP data for day zero, day one, and two-week SIP data for the largest high purity (Alfa </w:t>
      </w:r>
      <w:proofErr w:type="spellStart"/>
      <w:r w:rsidRPr="0073759F">
        <w:rPr>
          <w:rFonts w:cs="Times New Roman"/>
          <w:i w:val="0"/>
          <w:iCs w:val="0"/>
          <w:color w:val="auto"/>
          <w:sz w:val="22"/>
          <w:szCs w:val="22"/>
        </w:rPr>
        <w:t>Aesar</w:t>
      </w:r>
      <w:proofErr w:type="spellEnd"/>
      <w:r w:rsidRPr="0073759F">
        <w:rPr>
          <w:rFonts w:cs="Times New Roman"/>
          <w:i w:val="0"/>
          <w:iCs w:val="0"/>
          <w:color w:val="auto"/>
          <w:sz w:val="22"/>
          <w:szCs w:val="22"/>
        </w:rPr>
        <w:t xml:space="preserve">) size fraction (112.5 </w:t>
      </w:r>
      <w:proofErr w:type="spellStart"/>
      <w:r w:rsidRPr="0073759F">
        <w:rPr>
          <w:rFonts w:cs="Times New Roman"/>
          <w:i w:val="0"/>
          <w:iCs w:val="0"/>
          <w:color w:val="auto"/>
          <w:sz w:val="22"/>
          <w:szCs w:val="22"/>
        </w:rPr>
        <w:t>μm</w:t>
      </w:r>
      <w:proofErr w:type="spellEnd"/>
      <w:r w:rsidRPr="0073759F">
        <w:rPr>
          <w:rFonts w:cs="Times New Roman"/>
          <w:i w:val="0"/>
          <w:iCs w:val="0"/>
          <w:color w:val="auto"/>
          <w:sz w:val="22"/>
          <w:szCs w:val="22"/>
        </w:rPr>
        <w:t>), the comparably sized commercial material (</w:t>
      </w:r>
      <w:proofErr w:type="spellStart"/>
      <w:r w:rsidRPr="0073759F">
        <w:rPr>
          <w:rFonts w:cs="Times New Roman"/>
          <w:i w:val="0"/>
          <w:iCs w:val="0"/>
          <w:color w:val="auto"/>
          <w:sz w:val="22"/>
          <w:szCs w:val="22"/>
        </w:rPr>
        <w:t>Hepure</w:t>
      </w:r>
      <w:proofErr w:type="spellEnd"/>
      <w:r w:rsidRPr="0073759F">
        <w:rPr>
          <w:rFonts w:cs="Times New Roman"/>
          <w:i w:val="0"/>
          <w:iCs w:val="0"/>
          <w:color w:val="auto"/>
          <w:sz w:val="22"/>
          <w:szCs w:val="22"/>
        </w:rPr>
        <w:t xml:space="preserve">, 112.5 </w:t>
      </w:r>
      <w:proofErr w:type="spellStart"/>
      <w:r w:rsidRPr="0073759F">
        <w:rPr>
          <w:rFonts w:cs="Times New Roman"/>
          <w:i w:val="0"/>
          <w:iCs w:val="0"/>
          <w:color w:val="auto"/>
          <w:sz w:val="22"/>
          <w:szCs w:val="22"/>
        </w:rPr>
        <w:t>μm</w:t>
      </w:r>
      <w:proofErr w:type="spellEnd"/>
      <w:r w:rsidRPr="0073759F">
        <w:rPr>
          <w:rFonts w:cs="Times New Roman"/>
          <w:i w:val="0"/>
          <w:iCs w:val="0"/>
          <w:color w:val="auto"/>
          <w:sz w:val="22"/>
          <w:szCs w:val="22"/>
        </w:rPr>
        <w:t xml:space="preserve">), and the smallest size fraction (Alfa </w:t>
      </w:r>
      <w:proofErr w:type="spellStart"/>
      <w:r w:rsidRPr="0073759F">
        <w:rPr>
          <w:rFonts w:cs="Times New Roman"/>
          <w:i w:val="0"/>
          <w:iCs w:val="0"/>
          <w:color w:val="auto"/>
          <w:sz w:val="22"/>
          <w:szCs w:val="22"/>
        </w:rPr>
        <w:t>Aesar</w:t>
      </w:r>
      <w:proofErr w:type="spellEnd"/>
      <w:r w:rsidRPr="0073759F">
        <w:rPr>
          <w:rFonts w:cs="Times New Roman"/>
          <w:i w:val="0"/>
          <w:iCs w:val="0"/>
          <w:color w:val="auto"/>
          <w:sz w:val="22"/>
          <w:szCs w:val="22"/>
        </w:rPr>
        <w:t xml:space="preserve">, 34.6 </w:t>
      </w:r>
      <w:proofErr w:type="spellStart"/>
      <w:r w:rsidRPr="0073759F">
        <w:rPr>
          <w:rFonts w:cs="Times New Roman"/>
          <w:i w:val="0"/>
          <w:iCs w:val="0"/>
          <w:color w:val="auto"/>
          <w:sz w:val="22"/>
          <w:szCs w:val="22"/>
        </w:rPr>
        <w:t>μm</w:t>
      </w:r>
      <w:proofErr w:type="spellEnd"/>
      <w:r w:rsidRPr="0073759F">
        <w:rPr>
          <w:rFonts w:cs="Times New Roman"/>
          <w:i w:val="0"/>
          <w:iCs w:val="0"/>
          <w:color w:val="auto"/>
          <w:sz w:val="22"/>
          <w:szCs w:val="22"/>
        </w:rPr>
        <w:t>) with a) dimensionless total chargeability and b) normalized chargeability in mS/m.</w:t>
      </w:r>
    </w:p>
    <w:p w14:paraId="2D78402E" w14:textId="77777777" w:rsidR="00006F65" w:rsidRDefault="00006F65" w:rsidP="00793E03">
      <w:pPr>
        <w:spacing w:after="0" w:line="240" w:lineRule="auto"/>
        <w:ind w:firstLine="360"/>
        <w:rPr>
          <w:rFonts w:asciiTheme="majorHAnsi" w:eastAsia="Times New Roman" w:hAnsiTheme="majorHAnsi" w:cstheme="majorHAnsi"/>
          <w:kern w:val="0"/>
          <w14:ligatures w14:val="none"/>
        </w:rPr>
      </w:pPr>
    </w:p>
    <w:p w14:paraId="3CF601DD" w14:textId="77777777" w:rsidR="00006F65" w:rsidRPr="00793E03" w:rsidRDefault="00006F65" w:rsidP="00793E03">
      <w:pPr>
        <w:spacing w:after="0" w:line="240" w:lineRule="auto"/>
        <w:ind w:firstLine="360"/>
        <w:rPr>
          <w:rFonts w:asciiTheme="majorHAnsi" w:eastAsia="Times New Roman" w:hAnsiTheme="majorHAnsi" w:cstheme="majorHAnsi"/>
          <w:kern w:val="0"/>
          <w14:ligatures w14:val="none"/>
        </w:rPr>
      </w:pPr>
    </w:p>
    <w:p w14:paraId="0F015B68" w14:textId="77777777" w:rsidR="00793E03" w:rsidRPr="00793E03" w:rsidRDefault="00793E03" w:rsidP="00793E03">
      <w:pPr>
        <w:pStyle w:val="Heading2"/>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t>Long-Term Flow Experiments and Reductive Capacity</w:t>
      </w:r>
    </w:p>
    <w:p w14:paraId="421C690B" w14:textId="736616C0" w:rsidR="00793E03" w:rsidRPr="00793E03" w:rsidRDefault="00793E03" w:rsidP="00793E03">
      <w:pPr>
        <w:spacing w:after="0" w:line="240" w:lineRule="auto"/>
        <w:ind w:firstLine="72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 xml:space="preserve">Flow-through experiments revealed clear contrasts between </w:t>
      </w:r>
      <w:r w:rsidR="00006F65">
        <w:rPr>
          <w:rFonts w:asciiTheme="majorHAnsi" w:eastAsia="Times New Roman" w:hAnsiTheme="majorHAnsi" w:cstheme="majorHAnsi"/>
          <w:kern w:val="0"/>
          <w14:ligatures w14:val="none"/>
        </w:rPr>
        <w:t>large, grained</w:t>
      </w:r>
      <w:r w:rsidRPr="00793E03">
        <w:rPr>
          <w:rFonts w:asciiTheme="majorHAnsi" w:eastAsia="Times New Roman" w:hAnsiTheme="majorHAnsi" w:cstheme="majorHAnsi"/>
          <w:kern w:val="0"/>
          <w14:ligatures w14:val="none"/>
        </w:rPr>
        <w:t xml:space="preserve"> ZVI and </w:t>
      </w:r>
      <w:proofErr w:type="spellStart"/>
      <w:r w:rsidRPr="00793E03">
        <w:rPr>
          <w:rFonts w:asciiTheme="majorHAnsi" w:eastAsia="Times New Roman" w:hAnsiTheme="majorHAnsi" w:cstheme="majorHAnsi"/>
          <w:kern w:val="0"/>
          <w14:ligatures w14:val="none"/>
        </w:rPr>
        <w:t>nZVI</w:t>
      </w:r>
      <w:proofErr w:type="spellEnd"/>
      <w:r w:rsidRPr="00793E03">
        <w:rPr>
          <w:rFonts w:asciiTheme="majorHAnsi" w:eastAsia="Times New Roman" w:hAnsiTheme="majorHAnsi" w:cstheme="majorHAnsi"/>
          <w:kern w:val="0"/>
          <w14:ligatures w14:val="none"/>
        </w:rPr>
        <w:t xml:space="preserve">. </w:t>
      </w:r>
      <w:r w:rsidR="00006F65">
        <w:rPr>
          <w:rFonts w:asciiTheme="majorHAnsi" w:eastAsia="Times New Roman" w:hAnsiTheme="majorHAnsi" w:cstheme="majorHAnsi"/>
          <w:kern w:val="0"/>
          <w14:ligatures w14:val="none"/>
        </w:rPr>
        <w:t xml:space="preserve">The Alfa </w:t>
      </w:r>
      <w:proofErr w:type="spellStart"/>
      <w:r w:rsidR="00006F65">
        <w:rPr>
          <w:rFonts w:asciiTheme="majorHAnsi" w:eastAsia="Times New Roman" w:hAnsiTheme="majorHAnsi" w:cstheme="majorHAnsi"/>
          <w:kern w:val="0"/>
          <w14:ligatures w14:val="none"/>
        </w:rPr>
        <w:t>Aesar</w:t>
      </w:r>
      <w:proofErr w:type="spellEnd"/>
      <w:r w:rsidRPr="00793E03">
        <w:rPr>
          <w:rFonts w:asciiTheme="majorHAnsi" w:eastAsia="Times New Roman" w:hAnsiTheme="majorHAnsi" w:cstheme="majorHAnsi"/>
          <w:kern w:val="0"/>
          <w14:ligatures w14:val="none"/>
        </w:rPr>
        <w:t xml:space="preserve"> ZVI columns exhibited gradual shifts of peak phase frequency toward lower </w:t>
      </w:r>
      <w:r w:rsidRPr="00793E03">
        <w:rPr>
          <w:rFonts w:asciiTheme="majorHAnsi" w:eastAsia="Times New Roman" w:hAnsiTheme="majorHAnsi" w:cstheme="majorHAnsi"/>
          <w:kern w:val="0"/>
          <w14:ligatures w14:val="none"/>
        </w:rPr>
        <w:lastRenderedPageBreak/>
        <w:t>values and declining chargeability, consistent with progressive passivation</w:t>
      </w:r>
      <w:r w:rsidR="00226E22">
        <w:rPr>
          <w:rFonts w:asciiTheme="majorHAnsi" w:eastAsia="Times New Roman" w:hAnsiTheme="majorHAnsi" w:cstheme="majorHAnsi"/>
          <w:kern w:val="0"/>
          <w14:ligatures w14:val="none"/>
        </w:rPr>
        <w:t xml:space="preserve"> (Figure 6)</w:t>
      </w:r>
      <w:r w:rsidRPr="00793E03">
        <w:rPr>
          <w:rFonts w:asciiTheme="majorHAnsi" w:eastAsia="Times New Roman" w:hAnsiTheme="majorHAnsi" w:cstheme="majorHAnsi"/>
          <w:kern w:val="0"/>
          <w14:ligatures w14:val="none"/>
        </w:rPr>
        <w:t xml:space="preserve">. In contrast, </w:t>
      </w:r>
      <w:proofErr w:type="spellStart"/>
      <w:r w:rsidRPr="00793E03">
        <w:rPr>
          <w:rFonts w:asciiTheme="majorHAnsi" w:eastAsia="Times New Roman" w:hAnsiTheme="majorHAnsi" w:cstheme="majorHAnsi"/>
          <w:kern w:val="0"/>
          <w14:ligatures w14:val="none"/>
        </w:rPr>
        <w:t>nZVI</w:t>
      </w:r>
      <w:proofErr w:type="spellEnd"/>
      <w:r w:rsidRPr="00793E03">
        <w:rPr>
          <w:rFonts w:asciiTheme="majorHAnsi" w:eastAsia="Times New Roman" w:hAnsiTheme="majorHAnsi" w:cstheme="majorHAnsi"/>
          <w:kern w:val="0"/>
          <w14:ligatures w14:val="none"/>
        </w:rPr>
        <w:t xml:space="preserve"> columns showed more sustained SIP responses</w:t>
      </w:r>
      <w:r w:rsidR="00006F65">
        <w:rPr>
          <w:rFonts w:asciiTheme="majorHAnsi" w:eastAsia="Times New Roman" w:hAnsiTheme="majorHAnsi" w:cstheme="majorHAnsi"/>
          <w:kern w:val="0"/>
          <w14:ligatures w14:val="none"/>
        </w:rPr>
        <w:t xml:space="preserve"> linked to continuing ZVI oxidation</w:t>
      </w:r>
      <w:r w:rsidRPr="00793E03">
        <w:rPr>
          <w:rFonts w:asciiTheme="majorHAnsi" w:eastAsia="Times New Roman" w:hAnsiTheme="majorHAnsi" w:cstheme="majorHAnsi"/>
          <w:kern w:val="0"/>
          <w14:ligatures w14:val="none"/>
        </w:rPr>
        <w:t xml:space="preserve"> over time.</w:t>
      </w:r>
    </w:p>
    <w:p w14:paraId="1B90850E" w14:textId="77777777" w:rsidR="00006F65" w:rsidRDefault="00006F65" w:rsidP="00793E03">
      <w:pPr>
        <w:spacing w:after="0" w:line="240" w:lineRule="auto"/>
        <w:ind w:firstLine="360"/>
        <w:rPr>
          <w:rFonts w:asciiTheme="majorHAnsi" w:eastAsia="Times New Roman" w:hAnsiTheme="majorHAnsi" w:cstheme="majorHAnsi"/>
          <w:b/>
          <w:bCs/>
          <w:kern w:val="0"/>
          <w14:ligatures w14:val="none"/>
        </w:rPr>
      </w:pPr>
    </w:p>
    <w:p w14:paraId="70F0F79C" w14:textId="77777777" w:rsidR="00226E22" w:rsidRPr="0019008A" w:rsidRDefault="00226E22" w:rsidP="00226E22">
      <w:pPr>
        <w:spacing w:line="480" w:lineRule="auto"/>
        <w:jc w:val="center"/>
        <w:rPr>
          <w:rFonts w:cs="Times New Roman"/>
        </w:rPr>
      </w:pPr>
      <w:r w:rsidRPr="0019008A">
        <w:rPr>
          <w:rFonts w:cs="Times New Roman"/>
          <w:noProof/>
        </w:rPr>
        <w:drawing>
          <wp:inline distT="0" distB="0" distL="0" distR="0" wp14:anchorId="39633B6F" wp14:editId="2EEBE77E">
            <wp:extent cx="4572000" cy="3048000"/>
            <wp:effectExtent l="0" t="0" r="0" b="0"/>
            <wp:docPr id="495130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30375" name="Picture 495130375"/>
                    <pic:cNvPicPr/>
                  </pic:nvPicPr>
                  <pic:blipFill>
                    <a:blip r:embed="rId17"/>
                    <a:stretch>
                      <a:fillRect/>
                    </a:stretch>
                  </pic:blipFill>
                  <pic:spPr>
                    <a:xfrm>
                      <a:off x="0" y="0"/>
                      <a:ext cx="4572000" cy="3048000"/>
                    </a:xfrm>
                    <a:prstGeom prst="rect">
                      <a:avLst/>
                    </a:prstGeom>
                  </pic:spPr>
                </pic:pic>
              </a:graphicData>
            </a:graphic>
          </wp:inline>
        </w:drawing>
      </w:r>
      <w:r w:rsidRPr="0019008A">
        <w:rPr>
          <w:rFonts w:cs="Times New Roman"/>
          <w:noProof/>
        </w:rPr>
        <w:drawing>
          <wp:inline distT="0" distB="0" distL="0" distR="0" wp14:anchorId="2B1CA245" wp14:editId="0489EE36">
            <wp:extent cx="4572000" cy="3048000"/>
            <wp:effectExtent l="0" t="0" r="0" b="0"/>
            <wp:docPr id="20430587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058726" name="Picture 2043058726"/>
                    <pic:cNvPicPr/>
                  </pic:nvPicPr>
                  <pic:blipFill>
                    <a:blip r:embed="rId18"/>
                    <a:stretch>
                      <a:fillRect/>
                    </a:stretch>
                  </pic:blipFill>
                  <pic:spPr>
                    <a:xfrm>
                      <a:off x="0" y="0"/>
                      <a:ext cx="4572000" cy="3048000"/>
                    </a:xfrm>
                    <a:prstGeom prst="rect">
                      <a:avLst/>
                    </a:prstGeom>
                  </pic:spPr>
                </pic:pic>
              </a:graphicData>
            </a:graphic>
          </wp:inline>
        </w:drawing>
      </w:r>
    </w:p>
    <w:p w14:paraId="6758167A" w14:textId="44D2B064" w:rsidR="00226E22" w:rsidRPr="00516F92" w:rsidRDefault="00226E22" w:rsidP="00226E22">
      <w:pPr>
        <w:pStyle w:val="Caption"/>
        <w:rPr>
          <w:rFonts w:cs="Times New Roman"/>
          <w:i w:val="0"/>
          <w:iCs w:val="0"/>
          <w:color w:val="auto"/>
          <w:sz w:val="22"/>
          <w:szCs w:val="22"/>
        </w:rPr>
      </w:pPr>
      <w:bookmarkStart w:id="9" w:name="_Ref214559515"/>
      <w:bookmarkStart w:id="10" w:name="_Toc214982846"/>
      <w:r w:rsidRPr="00CD4204">
        <w:rPr>
          <w:rFonts w:cs="Times New Roman"/>
          <w:b/>
          <w:bCs/>
          <w:i w:val="0"/>
          <w:iCs w:val="0"/>
          <w:color w:val="auto"/>
          <w:sz w:val="22"/>
          <w:szCs w:val="22"/>
        </w:rPr>
        <w:t>Figure</w:t>
      </w:r>
      <w:bookmarkEnd w:id="9"/>
      <w:r>
        <w:rPr>
          <w:rFonts w:cs="Times New Roman"/>
          <w:b/>
          <w:bCs/>
          <w:i w:val="0"/>
          <w:iCs w:val="0"/>
          <w:color w:val="auto"/>
          <w:sz w:val="22"/>
          <w:szCs w:val="22"/>
        </w:rPr>
        <w:t xml:space="preserve"> 6</w:t>
      </w:r>
      <w:r w:rsidRPr="00CD4204">
        <w:rPr>
          <w:rFonts w:cs="Times New Roman"/>
          <w:b/>
          <w:bCs/>
          <w:i w:val="0"/>
          <w:iCs w:val="0"/>
          <w:color w:val="auto"/>
          <w:sz w:val="22"/>
          <w:szCs w:val="22"/>
        </w:rPr>
        <w:t>:</w:t>
      </w:r>
      <w:r>
        <w:rPr>
          <w:rFonts w:cs="Times New Roman"/>
          <w:i w:val="0"/>
          <w:iCs w:val="0"/>
          <w:color w:val="auto"/>
          <w:sz w:val="22"/>
          <w:szCs w:val="22"/>
        </w:rPr>
        <w:t xml:space="preserve"> </w:t>
      </w:r>
      <w:r w:rsidRPr="00516F92">
        <w:rPr>
          <w:rFonts w:cs="Times New Roman"/>
          <w:i w:val="0"/>
          <w:iCs w:val="0"/>
          <w:color w:val="auto"/>
          <w:sz w:val="22"/>
          <w:szCs w:val="22"/>
        </w:rPr>
        <w:t xml:space="preserve">SIP data for the nine flow columns with the a) 20-mesh Alfa </w:t>
      </w:r>
      <w:proofErr w:type="spellStart"/>
      <w:r w:rsidRPr="00516F92">
        <w:rPr>
          <w:rFonts w:cs="Times New Roman"/>
          <w:i w:val="0"/>
          <w:iCs w:val="0"/>
          <w:color w:val="auto"/>
          <w:sz w:val="22"/>
          <w:szCs w:val="22"/>
        </w:rPr>
        <w:t>Aesar</w:t>
      </w:r>
      <w:proofErr w:type="spellEnd"/>
      <w:r w:rsidRPr="00516F92">
        <w:rPr>
          <w:rFonts w:cs="Times New Roman"/>
          <w:i w:val="0"/>
          <w:iCs w:val="0"/>
          <w:color w:val="auto"/>
          <w:sz w:val="22"/>
          <w:szCs w:val="22"/>
        </w:rPr>
        <w:t xml:space="preserve"> columns (</w:t>
      </w:r>
      <w:r w:rsidRPr="00516F92">
        <w:rPr>
          <w:rFonts w:cs="Times New Roman"/>
          <w:color w:val="auto"/>
          <w:sz w:val="22"/>
          <w:szCs w:val="22"/>
        </w:rPr>
        <w:t>greens</w:t>
      </w:r>
      <w:r w:rsidRPr="00516F92">
        <w:rPr>
          <w:rFonts w:cs="Times New Roman"/>
          <w:i w:val="0"/>
          <w:iCs w:val="0"/>
          <w:color w:val="auto"/>
          <w:sz w:val="22"/>
          <w:szCs w:val="22"/>
        </w:rPr>
        <w:t xml:space="preserve">) and b) the </w:t>
      </w:r>
      <w:proofErr w:type="spellStart"/>
      <w:r w:rsidRPr="00516F92">
        <w:rPr>
          <w:rFonts w:cs="Times New Roman"/>
          <w:i w:val="0"/>
          <w:iCs w:val="0"/>
          <w:color w:val="auto"/>
          <w:sz w:val="22"/>
          <w:szCs w:val="22"/>
        </w:rPr>
        <w:t>Hepure</w:t>
      </w:r>
      <w:proofErr w:type="spellEnd"/>
      <w:r w:rsidRPr="00516F92">
        <w:rPr>
          <w:rFonts w:cs="Times New Roman"/>
          <w:i w:val="0"/>
          <w:iCs w:val="0"/>
          <w:color w:val="auto"/>
          <w:sz w:val="22"/>
          <w:szCs w:val="22"/>
        </w:rPr>
        <w:t xml:space="preserve"> </w:t>
      </w:r>
      <w:proofErr w:type="spellStart"/>
      <w:r w:rsidRPr="00516F92">
        <w:rPr>
          <w:rFonts w:cs="Times New Roman"/>
          <w:i w:val="0"/>
          <w:iCs w:val="0"/>
          <w:color w:val="auto"/>
          <w:sz w:val="22"/>
          <w:szCs w:val="22"/>
        </w:rPr>
        <w:t>nZVI</w:t>
      </w:r>
      <w:proofErr w:type="spellEnd"/>
      <w:r w:rsidRPr="00516F92">
        <w:rPr>
          <w:rFonts w:cs="Times New Roman"/>
          <w:i w:val="0"/>
          <w:iCs w:val="0"/>
          <w:color w:val="auto"/>
          <w:sz w:val="22"/>
          <w:szCs w:val="22"/>
        </w:rPr>
        <w:t xml:space="preserve"> (</w:t>
      </w:r>
      <w:r w:rsidRPr="00516F92">
        <w:rPr>
          <w:rFonts w:cs="Times New Roman"/>
          <w:color w:val="auto"/>
          <w:sz w:val="22"/>
          <w:szCs w:val="22"/>
        </w:rPr>
        <w:t>purples</w:t>
      </w:r>
      <w:r w:rsidRPr="00516F92">
        <w:rPr>
          <w:rFonts w:cs="Times New Roman"/>
          <w:i w:val="0"/>
          <w:iCs w:val="0"/>
          <w:color w:val="auto"/>
          <w:sz w:val="22"/>
          <w:szCs w:val="22"/>
        </w:rPr>
        <w:t>) showing changing peak phase frequency. Trendlines for each replicate are provided in their corresponding color as well as a general trendline for all points within each column set plotted in black.</w:t>
      </w:r>
      <w:bookmarkEnd w:id="10"/>
    </w:p>
    <w:p w14:paraId="79168D0D" w14:textId="77777777" w:rsidR="00006F65" w:rsidRDefault="00006F65" w:rsidP="00793E03">
      <w:pPr>
        <w:spacing w:after="0" w:line="240" w:lineRule="auto"/>
        <w:ind w:firstLine="360"/>
        <w:rPr>
          <w:rFonts w:asciiTheme="majorHAnsi" w:eastAsia="Times New Roman" w:hAnsiTheme="majorHAnsi" w:cstheme="majorHAnsi"/>
          <w:b/>
          <w:bCs/>
          <w:kern w:val="0"/>
          <w14:ligatures w14:val="none"/>
        </w:rPr>
      </w:pPr>
    </w:p>
    <w:p w14:paraId="7AC0AD38" w14:textId="6F5FC908" w:rsidR="00793E03" w:rsidRPr="00793E03" w:rsidRDefault="00793E03" w:rsidP="00793E03">
      <w:pPr>
        <w:spacing w:after="0" w:line="240" w:lineRule="auto"/>
        <w:ind w:firstLine="36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lastRenderedPageBreak/>
        <w:t xml:space="preserve">Effluent chemistry confirmed these interpretations. </w:t>
      </w:r>
      <w:proofErr w:type="gramStart"/>
      <w:r w:rsidRPr="00793E03">
        <w:rPr>
          <w:rFonts w:asciiTheme="majorHAnsi" w:eastAsia="Times New Roman" w:hAnsiTheme="majorHAnsi" w:cstheme="majorHAnsi"/>
          <w:kern w:val="0"/>
          <w14:ligatures w14:val="none"/>
        </w:rPr>
        <w:t>Cr(</w:t>
      </w:r>
      <w:proofErr w:type="gramEnd"/>
      <w:r w:rsidRPr="00793E03">
        <w:rPr>
          <w:rFonts w:asciiTheme="majorHAnsi" w:eastAsia="Times New Roman" w:hAnsiTheme="majorHAnsi" w:cstheme="majorHAnsi"/>
          <w:kern w:val="0"/>
          <w14:ligatures w14:val="none"/>
        </w:rPr>
        <w:t xml:space="preserve">VI) breakthrough occurred immediately in granular ZVI columns, whereas </w:t>
      </w:r>
      <w:proofErr w:type="spellStart"/>
      <w:r w:rsidRPr="00793E03">
        <w:rPr>
          <w:rFonts w:asciiTheme="majorHAnsi" w:eastAsia="Times New Roman" w:hAnsiTheme="majorHAnsi" w:cstheme="majorHAnsi"/>
          <w:kern w:val="0"/>
          <w14:ligatures w14:val="none"/>
        </w:rPr>
        <w:t>nZVI</w:t>
      </w:r>
      <w:proofErr w:type="spellEnd"/>
      <w:r w:rsidRPr="00793E03">
        <w:rPr>
          <w:rFonts w:asciiTheme="majorHAnsi" w:eastAsia="Times New Roman" w:hAnsiTheme="majorHAnsi" w:cstheme="majorHAnsi"/>
          <w:kern w:val="0"/>
          <w14:ligatures w14:val="none"/>
        </w:rPr>
        <w:t xml:space="preserve"> </w:t>
      </w:r>
      <w:r w:rsidR="00006F65" w:rsidRPr="00793E03">
        <w:rPr>
          <w:rFonts w:asciiTheme="majorHAnsi" w:eastAsia="Times New Roman" w:hAnsiTheme="majorHAnsi" w:cstheme="majorHAnsi"/>
          <w:kern w:val="0"/>
          <w14:ligatures w14:val="none"/>
        </w:rPr>
        <w:t>columns-maintained</w:t>
      </w:r>
      <w:r w:rsidRPr="00793E03">
        <w:rPr>
          <w:rFonts w:asciiTheme="majorHAnsi" w:eastAsia="Times New Roman" w:hAnsiTheme="majorHAnsi" w:cstheme="majorHAnsi"/>
          <w:kern w:val="0"/>
          <w14:ligatures w14:val="none"/>
        </w:rPr>
        <w:t xml:space="preserve"> Cr removal for approximately 140 days before breakthrough</w:t>
      </w:r>
      <w:r w:rsidR="00226E22">
        <w:rPr>
          <w:rFonts w:asciiTheme="majorHAnsi" w:eastAsia="Times New Roman" w:hAnsiTheme="majorHAnsi" w:cstheme="majorHAnsi"/>
          <w:kern w:val="0"/>
          <w14:ligatures w14:val="none"/>
        </w:rPr>
        <w:t xml:space="preserve"> (Figure 7)</w:t>
      </w:r>
      <w:r w:rsidRPr="00793E03">
        <w:rPr>
          <w:rFonts w:asciiTheme="majorHAnsi" w:eastAsia="Times New Roman" w:hAnsiTheme="majorHAnsi" w:cstheme="majorHAnsi"/>
          <w:kern w:val="0"/>
          <w14:ligatures w14:val="none"/>
        </w:rPr>
        <w:t>.</w:t>
      </w:r>
    </w:p>
    <w:p w14:paraId="7ED79DCA" w14:textId="77777777" w:rsidR="00006F65" w:rsidRDefault="00006F65" w:rsidP="00793E03">
      <w:pPr>
        <w:spacing w:after="0" w:line="240" w:lineRule="auto"/>
        <w:ind w:firstLine="360"/>
        <w:rPr>
          <w:rFonts w:asciiTheme="majorHAnsi" w:eastAsia="Times New Roman" w:hAnsiTheme="majorHAnsi" w:cstheme="majorHAnsi"/>
          <w:b/>
          <w:bCs/>
          <w:kern w:val="0"/>
          <w14:ligatures w14:val="none"/>
        </w:rPr>
      </w:pPr>
    </w:p>
    <w:p w14:paraId="4F919F22" w14:textId="77777777" w:rsidR="00006F65" w:rsidRDefault="00006F65" w:rsidP="00793E03">
      <w:pPr>
        <w:spacing w:after="0" w:line="240" w:lineRule="auto"/>
        <w:ind w:firstLine="360"/>
        <w:rPr>
          <w:rFonts w:asciiTheme="majorHAnsi" w:eastAsia="Times New Roman" w:hAnsiTheme="majorHAnsi" w:cstheme="majorHAnsi"/>
          <w:b/>
          <w:bCs/>
          <w:kern w:val="0"/>
          <w14:ligatures w14:val="none"/>
        </w:rPr>
      </w:pPr>
    </w:p>
    <w:p w14:paraId="2092CBE5" w14:textId="77777777" w:rsidR="00006F65" w:rsidRPr="0019008A" w:rsidRDefault="00006F65" w:rsidP="00006F65">
      <w:pPr>
        <w:spacing w:line="480" w:lineRule="auto"/>
        <w:jc w:val="center"/>
        <w:rPr>
          <w:rFonts w:cs="Times New Roman"/>
        </w:rPr>
      </w:pPr>
      <w:r w:rsidRPr="0019008A">
        <w:rPr>
          <w:rFonts w:cs="Times New Roman"/>
          <w:noProof/>
        </w:rPr>
        <w:drawing>
          <wp:inline distT="0" distB="0" distL="0" distR="0" wp14:anchorId="62B05237" wp14:editId="214EFAFF">
            <wp:extent cx="4572000" cy="3048000"/>
            <wp:effectExtent l="0" t="0" r="0" b="0"/>
            <wp:docPr id="19363119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11984" name="Picture 1936311984"/>
                    <pic:cNvPicPr/>
                  </pic:nvPicPr>
                  <pic:blipFill>
                    <a:blip r:embed="rId19"/>
                    <a:stretch>
                      <a:fillRect/>
                    </a:stretch>
                  </pic:blipFill>
                  <pic:spPr>
                    <a:xfrm>
                      <a:off x="0" y="0"/>
                      <a:ext cx="4572000" cy="3048000"/>
                    </a:xfrm>
                    <a:prstGeom prst="rect">
                      <a:avLst/>
                    </a:prstGeom>
                  </pic:spPr>
                </pic:pic>
              </a:graphicData>
            </a:graphic>
          </wp:inline>
        </w:drawing>
      </w:r>
    </w:p>
    <w:p w14:paraId="3AA4E34A" w14:textId="6302DA46" w:rsidR="00006F65" w:rsidRDefault="00006F65" w:rsidP="00006F65">
      <w:pPr>
        <w:pStyle w:val="Caption"/>
        <w:rPr>
          <w:rFonts w:cs="Times New Roman"/>
          <w:i w:val="0"/>
          <w:iCs w:val="0"/>
          <w:color w:val="auto"/>
          <w:sz w:val="22"/>
          <w:szCs w:val="22"/>
        </w:rPr>
      </w:pPr>
      <w:bookmarkStart w:id="11" w:name="_Ref214559609"/>
      <w:bookmarkStart w:id="12" w:name="_Toc216424761"/>
      <w:r w:rsidRPr="00CD4204">
        <w:rPr>
          <w:rFonts w:cs="Times New Roman"/>
          <w:b/>
          <w:bCs/>
          <w:i w:val="0"/>
          <w:iCs w:val="0"/>
          <w:color w:val="auto"/>
          <w:sz w:val="22"/>
          <w:szCs w:val="22"/>
        </w:rPr>
        <w:t>Figure</w:t>
      </w:r>
      <w:bookmarkEnd w:id="11"/>
      <w:r w:rsidR="00226E22">
        <w:rPr>
          <w:rFonts w:cs="Times New Roman"/>
          <w:b/>
          <w:bCs/>
          <w:i w:val="0"/>
          <w:iCs w:val="0"/>
          <w:color w:val="auto"/>
          <w:sz w:val="22"/>
          <w:szCs w:val="22"/>
        </w:rPr>
        <w:t xml:space="preserve"> </w:t>
      </w:r>
      <w:r w:rsidR="00BE068D">
        <w:rPr>
          <w:rFonts w:cs="Times New Roman"/>
          <w:b/>
          <w:bCs/>
          <w:i w:val="0"/>
          <w:iCs w:val="0"/>
          <w:color w:val="auto"/>
          <w:sz w:val="22"/>
          <w:szCs w:val="22"/>
        </w:rPr>
        <w:t>7</w:t>
      </w:r>
      <w:r w:rsidRPr="00CD4204">
        <w:rPr>
          <w:rFonts w:cs="Times New Roman"/>
          <w:b/>
          <w:bCs/>
          <w:i w:val="0"/>
          <w:iCs w:val="0"/>
          <w:color w:val="auto"/>
          <w:sz w:val="22"/>
          <w:szCs w:val="22"/>
        </w:rPr>
        <w:t>:</w:t>
      </w:r>
      <w:r>
        <w:rPr>
          <w:rFonts w:cs="Times New Roman"/>
          <w:i w:val="0"/>
          <w:iCs w:val="0"/>
          <w:color w:val="auto"/>
          <w:sz w:val="22"/>
          <w:szCs w:val="22"/>
        </w:rPr>
        <w:t xml:space="preserve"> Effluent </w:t>
      </w:r>
      <w:r w:rsidR="00F947CF">
        <w:rPr>
          <w:rFonts w:cs="Times New Roman"/>
          <w:i w:val="0"/>
          <w:iCs w:val="0"/>
          <w:color w:val="auto"/>
          <w:sz w:val="22"/>
          <w:szCs w:val="22"/>
        </w:rPr>
        <w:t>c</w:t>
      </w:r>
      <w:r w:rsidR="00F947CF" w:rsidRPr="00516F92">
        <w:rPr>
          <w:rFonts w:cs="Times New Roman"/>
          <w:i w:val="0"/>
          <w:iCs w:val="0"/>
          <w:color w:val="auto"/>
          <w:sz w:val="22"/>
          <w:szCs w:val="22"/>
        </w:rPr>
        <w:t>hromium</w:t>
      </w:r>
      <w:r w:rsidRPr="00516F92">
        <w:rPr>
          <w:rFonts w:cs="Times New Roman"/>
          <w:i w:val="0"/>
          <w:iCs w:val="0"/>
          <w:color w:val="auto"/>
          <w:sz w:val="22"/>
          <w:szCs w:val="22"/>
        </w:rPr>
        <w:t xml:space="preserve"> concentrations for the 20-mesh Alfa </w:t>
      </w:r>
      <w:proofErr w:type="spellStart"/>
      <w:r w:rsidRPr="00516F92">
        <w:rPr>
          <w:rFonts w:cs="Times New Roman"/>
          <w:i w:val="0"/>
          <w:iCs w:val="0"/>
          <w:color w:val="auto"/>
          <w:sz w:val="22"/>
          <w:szCs w:val="22"/>
        </w:rPr>
        <w:t>Aesar</w:t>
      </w:r>
      <w:proofErr w:type="spellEnd"/>
      <w:r w:rsidRPr="00516F92">
        <w:rPr>
          <w:rFonts w:cs="Times New Roman"/>
          <w:i w:val="0"/>
          <w:iCs w:val="0"/>
          <w:color w:val="auto"/>
          <w:sz w:val="22"/>
          <w:szCs w:val="22"/>
        </w:rPr>
        <w:t xml:space="preserve"> (</w:t>
      </w:r>
      <w:r w:rsidRPr="00516F92">
        <w:rPr>
          <w:rFonts w:cs="Times New Roman"/>
          <w:color w:val="auto"/>
          <w:sz w:val="22"/>
          <w:szCs w:val="22"/>
        </w:rPr>
        <w:t>greens</w:t>
      </w:r>
      <w:r w:rsidRPr="00516F92">
        <w:rPr>
          <w:rFonts w:cs="Times New Roman"/>
          <w:i w:val="0"/>
          <w:iCs w:val="0"/>
          <w:color w:val="auto"/>
          <w:sz w:val="22"/>
          <w:szCs w:val="22"/>
        </w:rPr>
        <w:t xml:space="preserve">) and </w:t>
      </w:r>
      <w:proofErr w:type="spellStart"/>
      <w:r w:rsidRPr="00516F92">
        <w:rPr>
          <w:rFonts w:cs="Times New Roman"/>
          <w:i w:val="0"/>
          <w:iCs w:val="0"/>
          <w:color w:val="auto"/>
          <w:sz w:val="22"/>
          <w:szCs w:val="22"/>
        </w:rPr>
        <w:t>Hepure</w:t>
      </w:r>
      <w:proofErr w:type="spellEnd"/>
      <w:r w:rsidRPr="00516F92">
        <w:rPr>
          <w:rFonts w:cs="Times New Roman"/>
          <w:i w:val="0"/>
          <w:iCs w:val="0"/>
          <w:color w:val="auto"/>
          <w:sz w:val="22"/>
          <w:szCs w:val="22"/>
        </w:rPr>
        <w:t xml:space="preserve"> </w:t>
      </w:r>
      <w:proofErr w:type="spellStart"/>
      <w:r w:rsidRPr="00516F92">
        <w:rPr>
          <w:rFonts w:cs="Times New Roman"/>
          <w:i w:val="0"/>
          <w:iCs w:val="0"/>
          <w:color w:val="auto"/>
          <w:sz w:val="22"/>
          <w:szCs w:val="22"/>
        </w:rPr>
        <w:t>nZVI</w:t>
      </w:r>
      <w:proofErr w:type="spellEnd"/>
      <w:r w:rsidRPr="00516F92">
        <w:rPr>
          <w:rFonts w:cs="Times New Roman"/>
          <w:i w:val="0"/>
          <w:iCs w:val="0"/>
          <w:color w:val="auto"/>
          <w:sz w:val="22"/>
          <w:szCs w:val="22"/>
        </w:rPr>
        <w:t xml:space="preserve"> (</w:t>
      </w:r>
      <w:r w:rsidRPr="00516F92">
        <w:rPr>
          <w:rFonts w:cs="Times New Roman"/>
          <w:color w:val="auto"/>
          <w:sz w:val="22"/>
          <w:szCs w:val="22"/>
        </w:rPr>
        <w:t>purples</w:t>
      </w:r>
      <w:r w:rsidRPr="00516F92">
        <w:rPr>
          <w:rFonts w:cs="Times New Roman"/>
          <w:i w:val="0"/>
          <w:iCs w:val="0"/>
          <w:color w:val="auto"/>
          <w:sz w:val="22"/>
          <w:szCs w:val="22"/>
        </w:rPr>
        <w:t>) columns. The black dashed line give</w:t>
      </w:r>
      <w:r>
        <w:rPr>
          <w:rFonts w:cs="Times New Roman"/>
          <w:i w:val="0"/>
          <w:iCs w:val="0"/>
          <w:color w:val="auto"/>
          <w:sz w:val="22"/>
          <w:szCs w:val="22"/>
        </w:rPr>
        <w:t>s</w:t>
      </w:r>
      <w:r w:rsidRPr="00516F92">
        <w:rPr>
          <w:rFonts w:cs="Times New Roman"/>
          <w:i w:val="0"/>
          <w:iCs w:val="0"/>
          <w:color w:val="auto"/>
          <w:sz w:val="22"/>
          <w:szCs w:val="22"/>
        </w:rPr>
        <w:t xml:space="preserve"> the Chromium concentration measured in the influent solution</w:t>
      </w:r>
      <w:r>
        <w:rPr>
          <w:rFonts w:cs="Times New Roman"/>
          <w:i w:val="0"/>
          <w:iCs w:val="0"/>
          <w:color w:val="auto"/>
          <w:sz w:val="22"/>
          <w:szCs w:val="22"/>
        </w:rPr>
        <w:t xml:space="preserve"> that was mixed with 5 ppm KCr</w:t>
      </w:r>
      <w:r w:rsidRPr="0065458A">
        <w:rPr>
          <w:rFonts w:cs="Times New Roman"/>
          <w:i w:val="0"/>
          <w:iCs w:val="0"/>
          <w:color w:val="auto"/>
          <w:sz w:val="22"/>
          <w:szCs w:val="22"/>
          <w:vertAlign w:val="subscript"/>
        </w:rPr>
        <w:t>2</w:t>
      </w:r>
      <w:r w:rsidRPr="00516F92">
        <w:rPr>
          <w:rFonts w:cs="Times New Roman"/>
          <w:i w:val="0"/>
          <w:iCs w:val="0"/>
          <w:color w:val="auto"/>
          <w:sz w:val="22"/>
          <w:szCs w:val="22"/>
        </w:rPr>
        <w:t>.</w:t>
      </w:r>
      <w:bookmarkEnd w:id="12"/>
    </w:p>
    <w:p w14:paraId="5FA65EC3" w14:textId="1C62ACD8" w:rsidR="00793E03" w:rsidRPr="00793E03" w:rsidRDefault="00793E03" w:rsidP="00793E03">
      <w:pPr>
        <w:spacing w:after="0" w:line="240" w:lineRule="auto"/>
        <w:ind w:firstLine="36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 xml:space="preserve">Solid-phase analyses corroborated the SIP data, showing reductions in zero-valent iron content, increases in magnetite and other oxides, and declining porosity in </w:t>
      </w:r>
      <w:r w:rsidR="00006F65">
        <w:rPr>
          <w:rFonts w:asciiTheme="majorHAnsi" w:eastAsia="Times New Roman" w:hAnsiTheme="majorHAnsi" w:cstheme="majorHAnsi"/>
          <w:kern w:val="0"/>
          <w14:ligatures w14:val="none"/>
        </w:rPr>
        <w:t xml:space="preserve">Alfa </w:t>
      </w:r>
      <w:proofErr w:type="spellStart"/>
      <w:r w:rsidR="00006F65">
        <w:rPr>
          <w:rFonts w:asciiTheme="majorHAnsi" w:eastAsia="Times New Roman" w:hAnsiTheme="majorHAnsi" w:cstheme="majorHAnsi"/>
          <w:kern w:val="0"/>
          <w14:ligatures w14:val="none"/>
        </w:rPr>
        <w:t>Aesar</w:t>
      </w:r>
      <w:proofErr w:type="spellEnd"/>
      <w:r w:rsidRPr="00793E03">
        <w:rPr>
          <w:rFonts w:asciiTheme="majorHAnsi" w:eastAsia="Times New Roman" w:hAnsiTheme="majorHAnsi" w:cstheme="majorHAnsi"/>
          <w:kern w:val="0"/>
          <w14:ligatures w14:val="none"/>
        </w:rPr>
        <w:t xml:space="preserve"> ZVI columns, while </w:t>
      </w:r>
      <w:proofErr w:type="spellStart"/>
      <w:r w:rsidRPr="00793E03">
        <w:rPr>
          <w:rFonts w:asciiTheme="majorHAnsi" w:eastAsia="Times New Roman" w:hAnsiTheme="majorHAnsi" w:cstheme="majorHAnsi"/>
          <w:kern w:val="0"/>
          <w14:ligatures w14:val="none"/>
        </w:rPr>
        <w:t>nZVI</w:t>
      </w:r>
      <w:proofErr w:type="spellEnd"/>
      <w:r w:rsidRPr="00793E03">
        <w:rPr>
          <w:rFonts w:asciiTheme="majorHAnsi" w:eastAsia="Times New Roman" w:hAnsiTheme="majorHAnsi" w:cstheme="majorHAnsi"/>
          <w:kern w:val="0"/>
          <w14:ligatures w14:val="none"/>
        </w:rPr>
        <w:t xml:space="preserve"> retained higher reactive surface area over longer timescales.</w:t>
      </w:r>
    </w:p>
    <w:p w14:paraId="0C8E4844" w14:textId="0D43A0A9" w:rsidR="00793E03" w:rsidRPr="00793E03" w:rsidRDefault="00793E03" w:rsidP="00793E03">
      <w:pPr>
        <w:spacing w:after="0" w:line="240" w:lineRule="auto"/>
        <w:rPr>
          <w:rFonts w:asciiTheme="majorHAnsi" w:eastAsia="Times New Roman" w:hAnsiTheme="majorHAnsi" w:cstheme="majorHAnsi"/>
          <w:kern w:val="0"/>
          <w14:ligatures w14:val="none"/>
        </w:rPr>
      </w:pPr>
    </w:p>
    <w:p w14:paraId="497721FC" w14:textId="77777777" w:rsidR="00793E03" w:rsidRPr="00793E03" w:rsidRDefault="00793E03" w:rsidP="00793E03">
      <w:pPr>
        <w:pStyle w:val="Heading1"/>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t>Interpretation and Implications</w:t>
      </w:r>
    </w:p>
    <w:p w14:paraId="7A5F8CBF" w14:textId="211D2AF9" w:rsidR="00793E03" w:rsidRPr="00793E03" w:rsidRDefault="00793E03" w:rsidP="00793E03">
      <w:pPr>
        <w:spacing w:after="0" w:line="240" w:lineRule="auto"/>
        <w:ind w:firstLine="72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The combined geophysical, geochemical, and solid-phase results demonstrate that SIP captures multiple stages of ZVI evolution, including early-stage enhanced polarization, surface passivation, and eventual exhaustion of reduction capacity. Importantly, SIP observables respond not only to particle size but also to mineral purity, morphology, corrosion products, and connectivity</w:t>
      </w:r>
      <w:r w:rsidR="00006F65">
        <w:rPr>
          <w:rFonts w:asciiTheme="majorHAnsi" w:eastAsia="Times New Roman" w:hAnsiTheme="majorHAnsi" w:cstheme="majorHAnsi"/>
          <w:kern w:val="0"/>
          <w14:ligatures w14:val="none"/>
        </w:rPr>
        <w:t xml:space="preserve">, </w:t>
      </w:r>
      <w:r w:rsidRPr="00793E03">
        <w:rPr>
          <w:rFonts w:asciiTheme="majorHAnsi" w:eastAsia="Times New Roman" w:hAnsiTheme="majorHAnsi" w:cstheme="majorHAnsi"/>
          <w:kern w:val="0"/>
          <w14:ligatures w14:val="none"/>
        </w:rPr>
        <w:t>factors that are critical in real remediation systems but poorly represented in idealized models.</w:t>
      </w:r>
    </w:p>
    <w:p w14:paraId="3EA7712D" w14:textId="77777777" w:rsidR="00793E03" w:rsidRPr="00793E03" w:rsidRDefault="00793E03" w:rsidP="00793E03">
      <w:pPr>
        <w:spacing w:after="0" w:line="240" w:lineRule="auto"/>
        <w:ind w:firstLine="72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The divergence between total and normalized chargeability underscores the importance of interpreting SIP signals within a mechanistic framework that accounts for evolving surface chemistry rather than relying solely on volume-based relationships.</w:t>
      </w:r>
    </w:p>
    <w:p w14:paraId="38AD9381" w14:textId="70635AD3" w:rsidR="00793E03" w:rsidRPr="00793E03" w:rsidRDefault="00793E03" w:rsidP="00793E03">
      <w:pPr>
        <w:spacing w:after="0" w:line="240" w:lineRule="auto"/>
        <w:rPr>
          <w:rFonts w:asciiTheme="majorHAnsi" w:eastAsia="Times New Roman" w:hAnsiTheme="majorHAnsi" w:cstheme="majorHAnsi"/>
          <w:kern w:val="0"/>
          <w14:ligatures w14:val="none"/>
        </w:rPr>
      </w:pPr>
    </w:p>
    <w:p w14:paraId="760092A1" w14:textId="77777777" w:rsidR="00793E03" w:rsidRPr="00793E03" w:rsidRDefault="00793E03" w:rsidP="00793E03">
      <w:pPr>
        <w:pStyle w:val="Heading1"/>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t>Value for Field-Scale Remediation Monitoring</w:t>
      </w:r>
    </w:p>
    <w:p w14:paraId="0F06115E" w14:textId="77777777" w:rsidR="00793E03" w:rsidRPr="00793E03" w:rsidRDefault="00793E03" w:rsidP="00793E03">
      <w:pPr>
        <w:spacing w:after="0" w:line="240" w:lineRule="auto"/>
        <w:ind w:firstLine="72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 xml:space="preserve">This study provides strong evidence that SIP can serve as a non-invasive proxy for amendment performance, capable of detecting changes in ZVI reactivity before conventional indicators such as contaminant breakthrough. By linking SIP responses directly to redox </w:t>
      </w:r>
      <w:r w:rsidRPr="00793E03">
        <w:rPr>
          <w:rFonts w:asciiTheme="majorHAnsi" w:eastAsia="Times New Roman" w:hAnsiTheme="majorHAnsi" w:cstheme="majorHAnsi"/>
          <w:kern w:val="0"/>
          <w14:ligatures w14:val="none"/>
        </w:rPr>
        <w:lastRenderedPageBreak/>
        <w:t>processes and reduction capacity, this work supports the integration of SIP into long-term monitoring strategies for PRBs and other in situ remediation technologies.</w:t>
      </w:r>
    </w:p>
    <w:p w14:paraId="76D505C2" w14:textId="77777777" w:rsidR="00793E03" w:rsidRPr="00793E03" w:rsidRDefault="00793E03" w:rsidP="00793E03">
      <w:pPr>
        <w:spacing w:after="0" w:line="240" w:lineRule="auto"/>
        <w:ind w:firstLine="72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The findings are directly relevant to DOE cleanup efforts at Hanford and similar sites, where early detection of amendment degradation could reduce monitoring costs, improve decision-making, and enhance protection of sensitive ecosystems.</w:t>
      </w:r>
    </w:p>
    <w:p w14:paraId="654ACFAC" w14:textId="00AE7880" w:rsidR="00793E03" w:rsidRPr="00793E03" w:rsidRDefault="00793E03" w:rsidP="00793E03">
      <w:pPr>
        <w:spacing w:after="0" w:line="240" w:lineRule="auto"/>
        <w:rPr>
          <w:rFonts w:asciiTheme="majorHAnsi" w:eastAsia="Times New Roman" w:hAnsiTheme="majorHAnsi" w:cstheme="majorHAnsi"/>
          <w:kern w:val="0"/>
          <w14:ligatures w14:val="none"/>
        </w:rPr>
      </w:pPr>
    </w:p>
    <w:p w14:paraId="020DDE6B" w14:textId="77777777" w:rsidR="00793E03" w:rsidRPr="00793E03" w:rsidRDefault="00793E03" w:rsidP="00793E03">
      <w:pPr>
        <w:pStyle w:val="Heading1"/>
        <w:spacing w:before="0" w:after="0" w:line="240" w:lineRule="auto"/>
        <w:rPr>
          <w:rFonts w:asciiTheme="majorHAnsi" w:eastAsia="Times New Roman" w:hAnsiTheme="majorHAnsi" w:cstheme="majorHAnsi"/>
          <w:szCs w:val="24"/>
        </w:rPr>
      </w:pPr>
      <w:r w:rsidRPr="00793E03">
        <w:rPr>
          <w:rFonts w:asciiTheme="majorHAnsi" w:eastAsia="Times New Roman" w:hAnsiTheme="majorHAnsi" w:cstheme="majorHAnsi"/>
          <w:szCs w:val="24"/>
        </w:rPr>
        <w:t>Conclusions and Next Steps</w:t>
      </w:r>
    </w:p>
    <w:p w14:paraId="691A55AF" w14:textId="77777777" w:rsidR="00793E03" w:rsidRPr="00793E03" w:rsidRDefault="00793E03" w:rsidP="00793E03">
      <w:pPr>
        <w:spacing w:after="0" w:line="240" w:lineRule="auto"/>
        <w:ind w:firstLine="72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This project demonstrates that SIP is highly sensitive to ZVI particle size, purity, corrosion state, and redox activity, and that SIP responses can be quantitatively linked to reduction capacity under flow conditions. Laboratory-scale results establish a strong foundation for scaling SIP to more complex systems.</w:t>
      </w:r>
    </w:p>
    <w:p w14:paraId="503CC9FB" w14:textId="4C6FACF2" w:rsidR="00793E03" w:rsidRPr="00793E03" w:rsidRDefault="00793E03" w:rsidP="00793E03">
      <w:pPr>
        <w:spacing w:after="0" w:line="240" w:lineRule="auto"/>
        <w:ind w:firstLine="720"/>
        <w:rPr>
          <w:rFonts w:asciiTheme="majorHAnsi" w:eastAsia="Times New Roman" w:hAnsiTheme="majorHAnsi" w:cstheme="majorHAnsi"/>
          <w:kern w:val="0"/>
          <w14:ligatures w14:val="none"/>
        </w:rPr>
      </w:pPr>
      <w:r w:rsidRPr="00793E03">
        <w:rPr>
          <w:rFonts w:asciiTheme="majorHAnsi" w:eastAsia="Times New Roman" w:hAnsiTheme="majorHAnsi" w:cstheme="majorHAnsi"/>
          <w:kern w:val="0"/>
          <w14:ligatures w14:val="none"/>
        </w:rPr>
        <w:t>Future work will extend these experiments to two-dimensional flow boxes to evaluate spatial heterogeneity and to support eventual field deployment. Together, these efforts advance SIP from a research-domain technique toward a field-ready monitoring tool capable of improving the effectiveness and efficiency of environmental remediation</w:t>
      </w:r>
    </w:p>
    <w:p w14:paraId="55F11B15" w14:textId="4285DC57" w:rsidR="00BE068D" w:rsidRDefault="00BE068D">
      <w:pPr>
        <w:rPr>
          <w:rFonts w:asciiTheme="majorHAnsi" w:hAnsiTheme="majorHAnsi" w:cstheme="majorHAnsi"/>
        </w:rPr>
      </w:pPr>
      <w:r>
        <w:rPr>
          <w:rFonts w:asciiTheme="majorHAnsi" w:hAnsiTheme="majorHAnsi" w:cstheme="majorHAnsi"/>
        </w:rPr>
        <w:br w:type="page"/>
      </w:r>
    </w:p>
    <w:p w14:paraId="2462C2C9" w14:textId="77777777" w:rsidR="00BE068D" w:rsidRDefault="00BE068D" w:rsidP="00793E03">
      <w:pPr>
        <w:spacing w:after="0" w:line="240" w:lineRule="auto"/>
        <w:rPr>
          <w:rFonts w:asciiTheme="majorHAnsi" w:hAnsiTheme="majorHAnsi" w:cstheme="majorHAnsi"/>
        </w:rPr>
      </w:pPr>
    </w:p>
    <w:p w14:paraId="7113D71B" w14:textId="47C995B9" w:rsidR="00BE068D" w:rsidRDefault="00BE068D" w:rsidP="00BE068D">
      <w:pPr>
        <w:pStyle w:val="Heading1"/>
      </w:pPr>
      <w:r>
        <w:t>References</w:t>
      </w:r>
    </w:p>
    <w:p w14:paraId="67F72E63" w14:textId="77777777" w:rsidR="00BE068D" w:rsidRPr="00BE068D" w:rsidRDefault="00BE068D" w:rsidP="00BE068D">
      <w:pPr>
        <w:pStyle w:val="EndNoteBibliography"/>
        <w:spacing w:after="0"/>
        <w:ind w:left="720" w:hanging="720"/>
        <w:rPr>
          <w:noProof/>
        </w:rPr>
      </w:pPr>
      <w:r>
        <w:rPr>
          <w:rFonts w:asciiTheme="majorHAnsi" w:hAnsiTheme="majorHAnsi" w:cstheme="majorHAnsi"/>
        </w:rPr>
        <w:fldChar w:fldCharType="begin"/>
      </w:r>
      <w:r>
        <w:rPr>
          <w:rFonts w:asciiTheme="majorHAnsi" w:hAnsiTheme="majorHAnsi" w:cstheme="majorHAnsi"/>
        </w:rPr>
        <w:instrText xml:space="preserve"> ADDIN EN.REFLIST </w:instrText>
      </w:r>
      <w:r>
        <w:rPr>
          <w:rFonts w:asciiTheme="majorHAnsi" w:hAnsiTheme="majorHAnsi" w:cstheme="majorHAnsi"/>
        </w:rPr>
        <w:fldChar w:fldCharType="separate"/>
      </w:r>
      <w:r w:rsidRPr="00BE068D">
        <w:rPr>
          <w:noProof/>
        </w:rPr>
        <w:t xml:space="preserve">Abdel Aal, G. Z., Atekwana, E. A., &amp; Revil, A. (2014). Geophysical signatures of disseminated iron minerals: A proxy for understanding subsurface biophysicochemical processes. </w:t>
      </w:r>
      <w:r w:rsidRPr="00BE068D">
        <w:rPr>
          <w:i/>
          <w:noProof/>
        </w:rPr>
        <w:t>Journal of Geophysical Research: Biogeosciences</w:t>
      </w:r>
      <w:r w:rsidRPr="00BE068D">
        <w:rPr>
          <w:noProof/>
        </w:rPr>
        <w:t>,</w:t>
      </w:r>
      <w:r w:rsidRPr="00BE068D">
        <w:rPr>
          <w:i/>
          <w:noProof/>
        </w:rPr>
        <w:t xml:space="preserve"> 119</w:t>
      </w:r>
      <w:r w:rsidRPr="00BE068D">
        <w:rPr>
          <w:noProof/>
        </w:rPr>
        <w:t xml:space="preserve">(9), 1831-1849. </w:t>
      </w:r>
    </w:p>
    <w:p w14:paraId="5DD092DA" w14:textId="77777777" w:rsidR="00BE068D" w:rsidRPr="00BE068D" w:rsidRDefault="00BE068D" w:rsidP="00BE068D">
      <w:pPr>
        <w:pStyle w:val="EndNoteBibliography"/>
        <w:spacing w:after="0"/>
        <w:ind w:left="720" w:hanging="720"/>
        <w:rPr>
          <w:noProof/>
        </w:rPr>
      </w:pPr>
      <w:r w:rsidRPr="00BE068D">
        <w:rPr>
          <w:noProof/>
        </w:rPr>
        <w:t xml:space="preserve">Gibbons, C. F., Sasso, A. F., Angrish, M. M., Arzuaga, X., Bateson, T. F., Christensen, K. Y., Congleton, J., Glenn, B., Kopylev, L., Lehmann, D., Mezencev, R. F., Nachman, R. M., Newhouse, K., Radke, E. G., Reinhart, P., Rieth, S., Schlosser, P. M., Shaffer, R. M., Weaver, A.,…Kaupas, G. (2024). EPA IRIS Assessments. In </w:t>
      </w:r>
      <w:r w:rsidRPr="00BE068D">
        <w:rPr>
          <w:i/>
          <w:noProof/>
        </w:rPr>
        <w:t>IRIS Toxicological Review of Hexavalent Chromium [Cr(VI)] CASRN 18540-29-9</w:t>
      </w:r>
      <w:r w:rsidRPr="00BE068D">
        <w:rPr>
          <w:noProof/>
        </w:rPr>
        <w:t xml:space="preserve">. U.S. Environmental Protection Agency. </w:t>
      </w:r>
    </w:p>
    <w:p w14:paraId="7E35C7FC" w14:textId="77777777" w:rsidR="00BE068D" w:rsidRPr="00BE068D" w:rsidRDefault="00BE068D" w:rsidP="00BE068D">
      <w:pPr>
        <w:pStyle w:val="EndNoteBibliography"/>
        <w:spacing w:after="0"/>
        <w:ind w:left="720" w:hanging="720"/>
        <w:rPr>
          <w:noProof/>
        </w:rPr>
      </w:pPr>
      <w:r w:rsidRPr="00BE068D">
        <w:rPr>
          <w:noProof/>
        </w:rPr>
        <w:t xml:space="preserve">Heenan, J., Porter, A., Ntarlagiannis, D., Young, L. Y., Werkema, D. D., &amp; Slater, L. D. (2013). Sensitivity of the spectral induced polarization method to microbial enhanced oil recovery processes. </w:t>
      </w:r>
      <w:r w:rsidRPr="00BE068D">
        <w:rPr>
          <w:i/>
          <w:noProof/>
        </w:rPr>
        <w:t>Geophysics</w:t>
      </w:r>
      <w:r w:rsidRPr="00BE068D">
        <w:rPr>
          <w:noProof/>
        </w:rPr>
        <w:t>,</w:t>
      </w:r>
      <w:r w:rsidRPr="00BE068D">
        <w:rPr>
          <w:i/>
          <w:noProof/>
        </w:rPr>
        <w:t xml:space="preserve"> 78</w:t>
      </w:r>
      <w:r w:rsidRPr="00BE068D">
        <w:rPr>
          <w:noProof/>
        </w:rPr>
        <w:t xml:space="preserve">(5), E261-E269. </w:t>
      </w:r>
    </w:p>
    <w:p w14:paraId="6ECBEE16" w14:textId="2179329A" w:rsidR="00BE068D" w:rsidRPr="00BE068D" w:rsidRDefault="00BE068D" w:rsidP="00BE068D">
      <w:pPr>
        <w:pStyle w:val="EndNoteBibliography"/>
        <w:spacing w:after="0"/>
        <w:ind w:left="720" w:hanging="720"/>
        <w:rPr>
          <w:noProof/>
        </w:rPr>
      </w:pPr>
      <w:r w:rsidRPr="00BE068D">
        <w:rPr>
          <w:noProof/>
        </w:rPr>
        <w:t xml:space="preserve">Johnson, T., Versteeg, R., Thomle, J., Hammond, G., Chen, X., &amp; Zachara, J. (2015). Four-dimensional electrical conductivity monitoring of stage-driven river water intrusion: Accounting for water table effects using a transient mesh boundary and conditional inversion constraints. </w:t>
      </w:r>
      <w:r w:rsidRPr="00BE068D">
        <w:rPr>
          <w:i/>
          <w:noProof/>
        </w:rPr>
        <w:t>Water Resources Research</w:t>
      </w:r>
      <w:r w:rsidRPr="00BE068D">
        <w:rPr>
          <w:noProof/>
        </w:rPr>
        <w:t>,</w:t>
      </w:r>
      <w:r w:rsidRPr="00BE068D">
        <w:rPr>
          <w:i/>
          <w:noProof/>
        </w:rPr>
        <w:t xml:space="preserve"> 51</w:t>
      </w:r>
      <w:r w:rsidRPr="00BE068D">
        <w:rPr>
          <w:noProof/>
        </w:rPr>
        <w:t xml:space="preserve">(8), 6177-6196. </w:t>
      </w:r>
      <w:hyperlink r:id="rId20" w:history="1">
        <w:r w:rsidRPr="00BE068D">
          <w:rPr>
            <w:rStyle w:val="Hyperlink"/>
            <w:noProof/>
          </w:rPr>
          <w:t>https://doi.org/https://doi.org/10.1002/2014WR016129</w:t>
        </w:r>
      </w:hyperlink>
      <w:r w:rsidRPr="00BE068D">
        <w:rPr>
          <w:noProof/>
        </w:rPr>
        <w:t xml:space="preserve"> </w:t>
      </w:r>
    </w:p>
    <w:p w14:paraId="75C07C16" w14:textId="77777777" w:rsidR="00BE068D" w:rsidRPr="00BE068D" w:rsidRDefault="00BE068D" w:rsidP="00BE068D">
      <w:pPr>
        <w:pStyle w:val="EndNoteBibliography"/>
        <w:spacing w:after="0"/>
        <w:ind w:left="720" w:hanging="720"/>
        <w:rPr>
          <w:noProof/>
        </w:rPr>
      </w:pPr>
      <w:r w:rsidRPr="00BE068D">
        <w:rPr>
          <w:noProof/>
        </w:rPr>
        <w:t xml:space="preserve">Joyce, R. A., Glaser II, D. R., Werkema Jr, D. D., &amp; Atekwana, E. A. (2012). Spectral induced polarization response to nanoparticles in a saturated sand matrix. </w:t>
      </w:r>
      <w:r w:rsidRPr="00BE068D">
        <w:rPr>
          <w:i/>
          <w:noProof/>
        </w:rPr>
        <w:t>Journal of Applied Geophysics</w:t>
      </w:r>
      <w:r w:rsidRPr="00BE068D">
        <w:rPr>
          <w:noProof/>
        </w:rPr>
        <w:t>,</w:t>
      </w:r>
      <w:r w:rsidRPr="00BE068D">
        <w:rPr>
          <w:i/>
          <w:noProof/>
        </w:rPr>
        <w:t xml:space="preserve"> 77</w:t>
      </w:r>
      <w:r w:rsidRPr="00BE068D">
        <w:rPr>
          <w:noProof/>
        </w:rPr>
        <w:t xml:space="preserve">, 63-71. </w:t>
      </w:r>
    </w:p>
    <w:p w14:paraId="27A3DCA1" w14:textId="77777777" w:rsidR="00BE068D" w:rsidRPr="00BE068D" w:rsidRDefault="00BE068D" w:rsidP="00BE068D">
      <w:pPr>
        <w:pStyle w:val="EndNoteBibliography"/>
        <w:spacing w:after="0"/>
        <w:ind w:left="720" w:hanging="720"/>
        <w:rPr>
          <w:noProof/>
        </w:rPr>
      </w:pPr>
      <w:r w:rsidRPr="00BE068D">
        <w:rPr>
          <w:noProof/>
        </w:rPr>
        <w:t xml:space="preserve">Noubactep, C. (2015). Metallic iron for environmental remediation: A review of reviews. </w:t>
      </w:r>
      <w:r w:rsidRPr="00BE068D">
        <w:rPr>
          <w:i/>
          <w:noProof/>
        </w:rPr>
        <w:t>Water Res</w:t>
      </w:r>
      <w:r w:rsidRPr="00BE068D">
        <w:rPr>
          <w:noProof/>
        </w:rPr>
        <w:t>,</w:t>
      </w:r>
      <w:r w:rsidRPr="00BE068D">
        <w:rPr>
          <w:i/>
          <w:noProof/>
        </w:rPr>
        <w:t xml:space="preserve"> 85</w:t>
      </w:r>
      <w:r w:rsidRPr="00BE068D">
        <w:rPr>
          <w:noProof/>
        </w:rPr>
        <w:t xml:space="preserve">, 114-123. </w:t>
      </w:r>
    </w:p>
    <w:p w14:paraId="5ABFED97" w14:textId="77777777" w:rsidR="00BE068D" w:rsidRPr="00BE068D" w:rsidRDefault="00BE068D" w:rsidP="00BE068D">
      <w:pPr>
        <w:pStyle w:val="EndNoteBibliography"/>
        <w:spacing w:after="0"/>
        <w:ind w:left="720" w:hanging="720"/>
        <w:rPr>
          <w:noProof/>
        </w:rPr>
      </w:pPr>
      <w:r w:rsidRPr="00BE068D">
        <w:rPr>
          <w:noProof/>
        </w:rPr>
        <w:t xml:space="preserve">Orozco, A. F., Velimirovic, M., Tosco, T., Kemna, A., Sapion, H., Klaas, N., Sethi, R., &amp; Bastiaens, L. (2015). Monitoring the injection of microscale zerovalent iron particles for groundwater remediation by means of complex electrical conductivity imaging. </w:t>
      </w:r>
      <w:r w:rsidRPr="00BE068D">
        <w:rPr>
          <w:i/>
          <w:noProof/>
        </w:rPr>
        <w:t>Environ Sci Technol</w:t>
      </w:r>
      <w:r w:rsidRPr="00BE068D">
        <w:rPr>
          <w:noProof/>
        </w:rPr>
        <w:t>,</w:t>
      </w:r>
      <w:r w:rsidRPr="00BE068D">
        <w:rPr>
          <w:i/>
          <w:noProof/>
        </w:rPr>
        <w:t xml:space="preserve"> 49</w:t>
      </w:r>
      <w:r w:rsidRPr="00BE068D">
        <w:rPr>
          <w:noProof/>
        </w:rPr>
        <w:t xml:space="preserve">(9), 5593-5600. </w:t>
      </w:r>
    </w:p>
    <w:p w14:paraId="4B1D507F" w14:textId="4FE1286B" w:rsidR="00BE068D" w:rsidRPr="00BE068D" w:rsidRDefault="00BE068D" w:rsidP="00BE068D">
      <w:pPr>
        <w:pStyle w:val="EndNoteBibliography"/>
        <w:spacing w:after="0"/>
        <w:ind w:left="720" w:hanging="720"/>
        <w:rPr>
          <w:noProof/>
        </w:rPr>
      </w:pPr>
      <w:r w:rsidRPr="00BE068D">
        <w:rPr>
          <w:noProof/>
        </w:rPr>
        <w:t xml:space="preserve">Saneiyan, S., Ntarlagiannis, D., &amp; Colwell, F. (2021). Complex conductivity signatures of microbial induced calcite precipitation, field and laboratory scales [Article]. </w:t>
      </w:r>
      <w:r w:rsidRPr="00BE068D">
        <w:rPr>
          <w:i/>
          <w:noProof/>
        </w:rPr>
        <w:t>Geophysical Journal International</w:t>
      </w:r>
      <w:r w:rsidRPr="00BE068D">
        <w:rPr>
          <w:noProof/>
        </w:rPr>
        <w:t>,</w:t>
      </w:r>
      <w:r w:rsidRPr="00BE068D">
        <w:rPr>
          <w:i/>
          <w:noProof/>
        </w:rPr>
        <w:t xml:space="preserve"> 224</w:t>
      </w:r>
      <w:r w:rsidRPr="00BE068D">
        <w:rPr>
          <w:noProof/>
        </w:rPr>
        <w:t xml:space="preserve">(3), 1811-1824. </w:t>
      </w:r>
      <w:hyperlink r:id="rId21" w:history="1">
        <w:r w:rsidRPr="00BE068D">
          <w:rPr>
            <w:rStyle w:val="Hyperlink"/>
            <w:noProof/>
          </w:rPr>
          <w:t>https://doi.org/10.1093/gji/ggaa510</w:t>
        </w:r>
      </w:hyperlink>
      <w:r w:rsidRPr="00BE068D">
        <w:rPr>
          <w:noProof/>
        </w:rPr>
        <w:t xml:space="preserve"> </w:t>
      </w:r>
    </w:p>
    <w:p w14:paraId="11F39DB9" w14:textId="77777777" w:rsidR="00BE068D" w:rsidRPr="00BE068D" w:rsidRDefault="00BE068D" w:rsidP="00BE068D">
      <w:pPr>
        <w:pStyle w:val="EndNoteBibliography"/>
        <w:spacing w:after="0"/>
        <w:ind w:left="720" w:hanging="720"/>
        <w:rPr>
          <w:noProof/>
        </w:rPr>
      </w:pPr>
      <w:r w:rsidRPr="00BE068D">
        <w:rPr>
          <w:noProof/>
        </w:rPr>
        <w:t xml:space="preserve">Saneiyan, S., Ntarlagiannis, D., Ohan, J., Lee, J., Colwell, F., &amp; Burns, S. (2019). Induced polarization as a monitoring tool for in-situ microbial induced carbonate precipitation (MICP) processes. </w:t>
      </w:r>
      <w:r w:rsidRPr="00BE068D">
        <w:rPr>
          <w:i/>
          <w:noProof/>
        </w:rPr>
        <w:t>Ecological Engineering</w:t>
      </w:r>
      <w:r w:rsidRPr="00BE068D">
        <w:rPr>
          <w:noProof/>
        </w:rPr>
        <w:t>,</w:t>
      </w:r>
      <w:r w:rsidRPr="00BE068D">
        <w:rPr>
          <w:i/>
          <w:noProof/>
        </w:rPr>
        <w:t xml:space="preserve"> 127</w:t>
      </w:r>
      <w:r w:rsidRPr="00BE068D">
        <w:rPr>
          <w:noProof/>
        </w:rPr>
        <w:t xml:space="preserve">, 36-47. </w:t>
      </w:r>
    </w:p>
    <w:p w14:paraId="744E7074" w14:textId="77777777" w:rsidR="00BE068D" w:rsidRPr="00BE068D" w:rsidRDefault="00BE068D" w:rsidP="00BE068D">
      <w:pPr>
        <w:pStyle w:val="EndNoteBibliography"/>
        <w:spacing w:after="0"/>
        <w:ind w:left="720" w:hanging="720"/>
        <w:rPr>
          <w:noProof/>
        </w:rPr>
      </w:pPr>
      <w:r w:rsidRPr="00BE068D">
        <w:rPr>
          <w:noProof/>
        </w:rPr>
        <w:t xml:space="preserve">Saneiyan, S., Ntarlagiannis, D., Werkema Jr, D. D., &amp; Ustra, A. (2018). Geophysical methods for monitoring soil stabilization processes. </w:t>
      </w:r>
      <w:r w:rsidRPr="00BE068D">
        <w:rPr>
          <w:i/>
          <w:noProof/>
        </w:rPr>
        <w:t>Journal of Applied Geophysics</w:t>
      </w:r>
      <w:r w:rsidRPr="00BE068D">
        <w:rPr>
          <w:noProof/>
        </w:rPr>
        <w:t>,</w:t>
      </w:r>
      <w:r w:rsidRPr="00BE068D">
        <w:rPr>
          <w:i/>
          <w:noProof/>
        </w:rPr>
        <w:t xml:space="preserve"> 148</w:t>
      </w:r>
      <w:r w:rsidRPr="00BE068D">
        <w:rPr>
          <w:noProof/>
        </w:rPr>
        <w:t xml:space="preserve">, 234-244. </w:t>
      </w:r>
    </w:p>
    <w:p w14:paraId="423D6868" w14:textId="77777777" w:rsidR="00BE068D" w:rsidRPr="00BE068D" w:rsidRDefault="00BE068D" w:rsidP="00BE068D">
      <w:pPr>
        <w:pStyle w:val="EndNoteBibliography"/>
        <w:spacing w:after="0"/>
        <w:ind w:left="720" w:hanging="720"/>
        <w:rPr>
          <w:noProof/>
        </w:rPr>
      </w:pPr>
      <w:r w:rsidRPr="00BE068D">
        <w:rPr>
          <w:noProof/>
        </w:rPr>
        <w:t xml:space="preserve">Scherer, M. M., Richter, S., Valentine, R. L., &amp; Alvarez, P. J. (2000). Chemistry and microbiology of permeable reactive barriers for in situ groundwater clean up. </w:t>
      </w:r>
      <w:r w:rsidRPr="00BE068D">
        <w:rPr>
          <w:i/>
          <w:noProof/>
        </w:rPr>
        <w:t>Critical reviews in microbiology</w:t>
      </w:r>
      <w:r w:rsidRPr="00BE068D">
        <w:rPr>
          <w:noProof/>
        </w:rPr>
        <w:t>,</w:t>
      </w:r>
      <w:r w:rsidRPr="00BE068D">
        <w:rPr>
          <w:i/>
          <w:noProof/>
        </w:rPr>
        <w:t xml:space="preserve"> 26</w:t>
      </w:r>
      <w:r w:rsidRPr="00BE068D">
        <w:rPr>
          <w:noProof/>
        </w:rPr>
        <w:t xml:space="preserve">(4), 221-264. </w:t>
      </w:r>
    </w:p>
    <w:p w14:paraId="436E9FF0" w14:textId="73B8A181" w:rsidR="00BE068D" w:rsidRPr="00BE068D" w:rsidRDefault="00BE068D" w:rsidP="00BE068D">
      <w:pPr>
        <w:pStyle w:val="EndNoteBibliography"/>
        <w:spacing w:after="0"/>
        <w:ind w:left="720" w:hanging="720"/>
        <w:rPr>
          <w:noProof/>
        </w:rPr>
      </w:pPr>
      <w:r w:rsidRPr="00BE068D">
        <w:rPr>
          <w:noProof/>
        </w:rPr>
        <w:t xml:space="preserve">Slater, L. D., Choi, J., &amp; Wu, Y. X. (2005). Electrical properties of iron-sand columns: Implications for induced polarization investigation and performance monitoring of iron-wall barriers. </w:t>
      </w:r>
      <w:r w:rsidRPr="00BE068D">
        <w:rPr>
          <w:i/>
          <w:noProof/>
        </w:rPr>
        <w:t>GEOPHYSICS</w:t>
      </w:r>
      <w:r w:rsidRPr="00BE068D">
        <w:rPr>
          <w:noProof/>
        </w:rPr>
        <w:t>,</w:t>
      </w:r>
      <w:r w:rsidRPr="00BE068D">
        <w:rPr>
          <w:i/>
          <w:noProof/>
        </w:rPr>
        <w:t xml:space="preserve"> 70</w:t>
      </w:r>
      <w:r w:rsidRPr="00BE068D">
        <w:rPr>
          <w:noProof/>
        </w:rPr>
        <w:t xml:space="preserve">(4), G87-G94. </w:t>
      </w:r>
      <w:hyperlink r:id="rId22" w:history="1">
        <w:r w:rsidRPr="00BE068D">
          <w:rPr>
            <w:rStyle w:val="Hyperlink"/>
            <w:noProof/>
          </w:rPr>
          <w:t>https://doi.org/10.1190/1.1990218</w:t>
        </w:r>
      </w:hyperlink>
      <w:r w:rsidRPr="00BE068D">
        <w:rPr>
          <w:noProof/>
        </w:rPr>
        <w:t xml:space="preserve"> </w:t>
      </w:r>
    </w:p>
    <w:p w14:paraId="524A2CD3" w14:textId="4C4FBAAB" w:rsidR="00BE068D" w:rsidRPr="00BE068D" w:rsidRDefault="00BE068D" w:rsidP="00BE068D">
      <w:pPr>
        <w:pStyle w:val="EndNoteBibliography"/>
        <w:ind w:left="720" w:hanging="720"/>
        <w:rPr>
          <w:noProof/>
        </w:rPr>
      </w:pPr>
      <w:r w:rsidRPr="00BE068D">
        <w:rPr>
          <w:noProof/>
        </w:rPr>
        <w:t xml:space="preserve">Truex, M. J., Chronister, G. B., Strickland, C. E., Johnson, C. D., Tartakovsky, G. D., Oostrom, M., Clayton, R. E., Johnson, T. C., Freedman, V. L., Rockhold, M. L., Greenwood, W. J., Peterson, J. E., Hubbard, S. S., &amp; Ward, A. L. (2018). </w:t>
      </w:r>
      <w:r w:rsidRPr="00BE068D">
        <w:rPr>
          <w:i/>
          <w:noProof/>
        </w:rPr>
        <w:t xml:space="preserve">Deep Vadose Zone Treatability Test </w:t>
      </w:r>
      <w:r w:rsidRPr="00BE068D">
        <w:rPr>
          <w:i/>
          <w:noProof/>
        </w:rPr>
        <w:lastRenderedPageBreak/>
        <w:t>of Soil Desiccation for the Hanford Central Plateau: Final Report</w:t>
      </w:r>
      <w:r w:rsidRPr="00BE068D">
        <w:rPr>
          <w:noProof/>
        </w:rPr>
        <w:t xml:space="preserve">. </w:t>
      </w:r>
      <w:hyperlink r:id="rId23" w:history="1">
        <w:r w:rsidRPr="00BE068D">
          <w:rPr>
            <w:rStyle w:val="Hyperlink"/>
            <w:noProof/>
          </w:rPr>
          <w:t>https://www.osti.gov/biblio/1423418</w:t>
        </w:r>
      </w:hyperlink>
    </w:p>
    <w:p w14:paraId="48652536" w14:textId="1688FF41" w:rsidR="00BE068D" w:rsidRPr="00BE068D" w:rsidRDefault="00BE068D" w:rsidP="00BE068D">
      <w:pPr>
        <w:pStyle w:val="EndNoteBibliography"/>
        <w:spacing w:after="0"/>
        <w:ind w:left="720" w:hanging="720"/>
        <w:rPr>
          <w:noProof/>
        </w:rPr>
      </w:pPr>
      <w:hyperlink r:id="rId24" w:history="1">
        <w:r w:rsidRPr="00BE068D">
          <w:rPr>
            <w:rStyle w:val="Hyperlink"/>
            <w:noProof/>
          </w:rPr>
          <w:t>https://www.osti.gov/servlets/purl/1423418</w:t>
        </w:r>
      </w:hyperlink>
    </w:p>
    <w:p w14:paraId="0BE132E5" w14:textId="77777777" w:rsidR="00BE068D" w:rsidRPr="00BE068D" w:rsidRDefault="00BE068D" w:rsidP="00BE068D">
      <w:pPr>
        <w:pStyle w:val="EndNoteBibliography"/>
        <w:spacing w:after="0"/>
        <w:ind w:left="720" w:hanging="720"/>
        <w:rPr>
          <w:noProof/>
        </w:rPr>
      </w:pPr>
      <w:r w:rsidRPr="00BE068D">
        <w:rPr>
          <w:noProof/>
        </w:rPr>
        <w:t xml:space="preserve">Williams, K. H., Kemna, A., Wilkins, M. J., Druhan, J., Arntzen, E., N’Guessan, A. L., Long, P. E., Hubbard, S. S., &amp; Banfield, J. F. (2009). Geophysical monitoring of coupled microbial and geochemical processes during stimulated subsurface bioremediation. </w:t>
      </w:r>
      <w:r w:rsidRPr="00BE068D">
        <w:rPr>
          <w:i/>
          <w:noProof/>
        </w:rPr>
        <w:t>Environ Sci Technol</w:t>
      </w:r>
      <w:r w:rsidRPr="00BE068D">
        <w:rPr>
          <w:noProof/>
        </w:rPr>
        <w:t>,</w:t>
      </w:r>
      <w:r w:rsidRPr="00BE068D">
        <w:rPr>
          <w:i/>
          <w:noProof/>
        </w:rPr>
        <w:t xml:space="preserve"> 43</w:t>
      </w:r>
      <w:r w:rsidRPr="00BE068D">
        <w:rPr>
          <w:noProof/>
        </w:rPr>
        <w:t xml:space="preserve">(17), 6717-6723. </w:t>
      </w:r>
    </w:p>
    <w:p w14:paraId="270F222F" w14:textId="647E8F8D" w:rsidR="00BE068D" w:rsidRPr="00BE068D" w:rsidRDefault="00BE068D" w:rsidP="00BE068D">
      <w:pPr>
        <w:pStyle w:val="EndNoteBibliography"/>
        <w:ind w:left="720" w:hanging="720"/>
        <w:rPr>
          <w:noProof/>
        </w:rPr>
      </w:pPr>
      <w:r w:rsidRPr="00BE068D">
        <w:rPr>
          <w:noProof/>
        </w:rPr>
        <w:t xml:space="preserve">Wu, Y., Slater, L., Versteeg, R., &amp; LaBrecque, D. (2008). A comparison of the low frequency electrical signatures of iron oxide versus calcite precipitation in granular zero valent iron columns. </w:t>
      </w:r>
      <w:r w:rsidRPr="00BE068D">
        <w:rPr>
          <w:i/>
          <w:noProof/>
        </w:rPr>
        <w:t>Journal of contaminant hydrology</w:t>
      </w:r>
      <w:r w:rsidRPr="00BE068D">
        <w:rPr>
          <w:noProof/>
        </w:rPr>
        <w:t>,</w:t>
      </w:r>
      <w:r w:rsidRPr="00BE068D">
        <w:rPr>
          <w:i/>
          <w:noProof/>
        </w:rPr>
        <w:t xml:space="preserve"> 95</w:t>
      </w:r>
      <w:r w:rsidRPr="00BE068D">
        <w:rPr>
          <w:noProof/>
        </w:rPr>
        <w:t xml:space="preserve">(3-4), 154-167. </w:t>
      </w:r>
      <w:hyperlink r:id="rId25" w:history="1">
        <w:r w:rsidRPr="00BE068D">
          <w:rPr>
            <w:rStyle w:val="Hyperlink"/>
            <w:noProof/>
          </w:rPr>
          <w:t>https://doi.org/10.1016/j.jconhyd.2007.09.003</w:t>
        </w:r>
      </w:hyperlink>
      <w:r w:rsidRPr="00BE068D">
        <w:rPr>
          <w:noProof/>
        </w:rPr>
        <w:t xml:space="preserve"> </w:t>
      </w:r>
    </w:p>
    <w:p w14:paraId="64CC58F4" w14:textId="5922CC94" w:rsidR="00B073DD" w:rsidRPr="00793E03" w:rsidRDefault="00BE068D" w:rsidP="00793E03">
      <w:pPr>
        <w:spacing w:after="0" w:line="240" w:lineRule="auto"/>
        <w:rPr>
          <w:rFonts w:asciiTheme="majorHAnsi" w:hAnsiTheme="majorHAnsi" w:cstheme="majorHAnsi"/>
        </w:rPr>
      </w:pPr>
      <w:r>
        <w:rPr>
          <w:rFonts w:asciiTheme="majorHAnsi" w:hAnsiTheme="majorHAnsi" w:cstheme="majorHAnsi"/>
        </w:rPr>
        <w:fldChar w:fldCharType="end"/>
      </w:r>
    </w:p>
    <w:sectPr w:rsidR="00B073DD" w:rsidRPr="00793E0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A878D" w14:textId="77777777" w:rsidR="009231DF" w:rsidRDefault="009231DF" w:rsidP="000651DD">
      <w:pPr>
        <w:spacing w:after="0" w:line="240" w:lineRule="auto"/>
      </w:pPr>
      <w:r>
        <w:separator/>
      </w:r>
    </w:p>
  </w:endnote>
  <w:endnote w:type="continuationSeparator" w:id="0">
    <w:p w14:paraId="2A8E7619" w14:textId="77777777" w:rsidR="009231DF" w:rsidRDefault="009231DF" w:rsidP="0006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C6740" w14:textId="2CC723F8" w:rsidR="000651DD" w:rsidRDefault="00F77C79" w:rsidP="00F77C79">
    <w:pPr>
      <w:pStyle w:val="Footer"/>
      <w:jc w:val="right"/>
    </w:pPr>
    <w:r w:rsidRPr="00F77C79">
      <w:t>PNNL-SA-219189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BE2FF" w14:textId="77777777" w:rsidR="009231DF" w:rsidRDefault="009231DF" w:rsidP="000651DD">
      <w:pPr>
        <w:spacing w:after="0" w:line="240" w:lineRule="auto"/>
      </w:pPr>
      <w:r>
        <w:separator/>
      </w:r>
    </w:p>
  </w:footnote>
  <w:footnote w:type="continuationSeparator" w:id="0">
    <w:p w14:paraId="205A6052" w14:textId="77777777" w:rsidR="009231DF" w:rsidRDefault="009231DF" w:rsidP="000651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200F5"/>
    <w:multiLevelType w:val="multilevel"/>
    <w:tmpl w:val="AC2CC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C102A7"/>
    <w:multiLevelType w:val="multilevel"/>
    <w:tmpl w:val="FF12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C27BBC"/>
    <w:multiLevelType w:val="hybridMultilevel"/>
    <w:tmpl w:val="FF24A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6457D6"/>
    <w:multiLevelType w:val="multilevel"/>
    <w:tmpl w:val="E3224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AD2B69"/>
    <w:multiLevelType w:val="multilevel"/>
    <w:tmpl w:val="22B26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2D83B1E"/>
    <w:multiLevelType w:val="multilevel"/>
    <w:tmpl w:val="6204B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D34DFA"/>
    <w:multiLevelType w:val="multilevel"/>
    <w:tmpl w:val="8CBA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1E1284"/>
    <w:multiLevelType w:val="multilevel"/>
    <w:tmpl w:val="0B72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30512B"/>
    <w:multiLevelType w:val="multilevel"/>
    <w:tmpl w:val="681450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99928446">
    <w:abstractNumId w:val="8"/>
  </w:num>
  <w:num w:numId="2" w16cid:durableId="501819169">
    <w:abstractNumId w:val="7"/>
  </w:num>
  <w:num w:numId="3" w16cid:durableId="569191489">
    <w:abstractNumId w:val="3"/>
  </w:num>
  <w:num w:numId="4" w16cid:durableId="674579178">
    <w:abstractNumId w:val="6"/>
  </w:num>
  <w:num w:numId="5" w16cid:durableId="941912385">
    <w:abstractNumId w:val="4"/>
  </w:num>
  <w:num w:numId="6" w16cid:durableId="1510215519">
    <w:abstractNumId w:val="1"/>
  </w:num>
  <w:num w:numId="7" w16cid:durableId="1535117572">
    <w:abstractNumId w:val="5"/>
  </w:num>
  <w:num w:numId="8" w16cid:durableId="279383346">
    <w:abstractNumId w:val="0"/>
  </w:num>
  <w:num w:numId="9" w16cid:durableId="431410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PA 7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vrfffxvd5902cevspav2wwppepa50adxf00&quot;&gt;My EndNote Library&lt;record-ids&gt;&lt;item&gt;10&lt;/item&gt;&lt;item&gt;25&lt;/item&gt;&lt;item&gt;27&lt;/item&gt;&lt;item&gt;50&lt;/item&gt;&lt;/record-ids&gt;&lt;/item&gt;&lt;/Libraries&gt;"/>
  </w:docVars>
  <w:rsids>
    <w:rsidRoot w:val="00793E03"/>
    <w:rsid w:val="000026CD"/>
    <w:rsid w:val="00006F65"/>
    <w:rsid w:val="00031078"/>
    <w:rsid w:val="00035C8E"/>
    <w:rsid w:val="00057849"/>
    <w:rsid w:val="000651DD"/>
    <w:rsid w:val="000B3113"/>
    <w:rsid w:val="000D176B"/>
    <w:rsid w:val="000F3F78"/>
    <w:rsid w:val="00116D87"/>
    <w:rsid w:val="00134E9A"/>
    <w:rsid w:val="0014687C"/>
    <w:rsid w:val="00156637"/>
    <w:rsid w:val="001A76D0"/>
    <w:rsid w:val="001C416A"/>
    <w:rsid w:val="001D4AD8"/>
    <w:rsid w:val="001D59DC"/>
    <w:rsid w:val="001D6FF0"/>
    <w:rsid w:val="001F53A2"/>
    <w:rsid w:val="00214D80"/>
    <w:rsid w:val="00226E22"/>
    <w:rsid w:val="002A0EF4"/>
    <w:rsid w:val="002B4701"/>
    <w:rsid w:val="002C5910"/>
    <w:rsid w:val="002E3469"/>
    <w:rsid w:val="00305ED8"/>
    <w:rsid w:val="0031175C"/>
    <w:rsid w:val="00327FC4"/>
    <w:rsid w:val="00357DB5"/>
    <w:rsid w:val="003942FB"/>
    <w:rsid w:val="004004F7"/>
    <w:rsid w:val="004240FC"/>
    <w:rsid w:val="00431385"/>
    <w:rsid w:val="00443718"/>
    <w:rsid w:val="0047194E"/>
    <w:rsid w:val="004E577A"/>
    <w:rsid w:val="004E64D9"/>
    <w:rsid w:val="00556D28"/>
    <w:rsid w:val="00571F92"/>
    <w:rsid w:val="005A2D14"/>
    <w:rsid w:val="005F5A0B"/>
    <w:rsid w:val="006225C9"/>
    <w:rsid w:val="006325B6"/>
    <w:rsid w:val="00632A51"/>
    <w:rsid w:val="0065408D"/>
    <w:rsid w:val="0066074E"/>
    <w:rsid w:val="0069136D"/>
    <w:rsid w:val="006E34D3"/>
    <w:rsid w:val="006E50A1"/>
    <w:rsid w:val="007021C6"/>
    <w:rsid w:val="00715109"/>
    <w:rsid w:val="00715136"/>
    <w:rsid w:val="00715849"/>
    <w:rsid w:val="00793E03"/>
    <w:rsid w:val="007C3DD1"/>
    <w:rsid w:val="007D5C4C"/>
    <w:rsid w:val="007E23EA"/>
    <w:rsid w:val="007F536A"/>
    <w:rsid w:val="00800595"/>
    <w:rsid w:val="00814A82"/>
    <w:rsid w:val="008179F7"/>
    <w:rsid w:val="00826E5E"/>
    <w:rsid w:val="00840D24"/>
    <w:rsid w:val="0084399D"/>
    <w:rsid w:val="00862D95"/>
    <w:rsid w:val="00865D57"/>
    <w:rsid w:val="00882AF7"/>
    <w:rsid w:val="0088681D"/>
    <w:rsid w:val="008A1FF7"/>
    <w:rsid w:val="008A74FA"/>
    <w:rsid w:val="008B5CB1"/>
    <w:rsid w:val="008B652C"/>
    <w:rsid w:val="008F168F"/>
    <w:rsid w:val="00903D8E"/>
    <w:rsid w:val="009231DF"/>
    <w:rsid w:val="0093004C"/>
    <w:rsid w:val="0094570C"/>
    <w:rsid w:val="009576E2"/>
    <w:rsid w:val="00975EE1"/>
    <w:rsid w:val="009922F1"/>
    <w:rsid w:val="009C293D"/>
    <w:rsid w:val="009D42B6"/>
    <w:rsid w:val="009E3B5D"/>
    <w:rsid w:val="00A37358"/>
    <w:rsid w:val="00A50779"/>
    <w:rsid w:val="00A542FB"/>
    <w:rsid w:val="00A549BB"/>
    <w:rsid w:val="00A5507C"/>
    <w:rsid w:val="00AA3468"/>
    <w:rsid w:val="00AC4E09"/>
    <w:rsid w:val="00B073DD"/>
    <w:rsid w:val="00B300C3"/>
    <w:rsid w:val="00B469D5"/>
    <w:rsid w:val="00B9225F"/>
    <w:rsid w:val="00B926CB"/>
    <w:rsid w:val="00BB6B62"/>
    <w:rsid w:val="00BC15CA"/>
    <w:rsid w:val="00BE068D"/>
    <w:rsid w:val="00BF6579"/>
    <w:rsid w:val="00C34D23"/>
    <w:rsid w:val="00C35EF4"/>
    <w:rsid w:val="00C55909"/>
    <w:rsid w:val="00C70E2B"/>
    <w:rsid w:val="00C84DBE"/>
    <w:rsid w:val="00C860FE"/>
    <w:rsid w:val="00C934CA"/>
    <w:rsid w:val="00CA5F37"/>
    <w:rsid w:val="00CB5A3D"/>
    <w:rsid w:val="00CF3ED4"/>
    <w:rsid w:val="00D6109B"/>
    <w:rsid w:val="00D7109F"/>
    <w:rsid w:val="00D96446"/>
    <w:rsid w:val="00DA1BCB"/>
    <w:rsid w:val="00DA2BF8"/>
    <w:rsid w:val="00DC65B3"/>
    <w:rsid w:val="00DD2578"/>
    <w:rsid w:val="00E141AD"/>
    <w:rsid w:val="00E17859"/>
    <w:rsid w:val="00E37C96"/>
    <w:rsid w:val="00E4108D"/>
    <w:rsid w:val="00E52183"/>
    <w:rsid w:val="00E63DFB"/>
    <w:rsid w:val="00E677B0"/>
    <w:rsid w:val="00E76422"/>
    <w:rsid w:val="00E86714"/>
    <w:rsid w:val="00E91C53"/>
    <w:rsid w:val="00EE6C2D"/>
    <w:rsid w:val="00EF2F43"/>
    <w:rsid w:val="00F77C79"/>
    <w:rsid w:val="00F947CF"/>
    <w:rsid w:val="00FA63CE"/>
    <w:rsid w:val="00FA7FE1"/>
    <w:rsid w:val="00FD4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1BE87"/>
  <w15:chartTrackingRefBased/>
  <w15:docId w15:val="{5874E2A7-C3FF-6B46-8C35-2606C51BD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3468"/>
    <w:rPr>
      <w:rFonts w:ascii="Times New Roman" w:hAnsi="Times New Roman"/>
    </w:rPr>
  </w:style>
  <w:style w:type="paragraph" w:styleId="Heading1">
    <w:name w:val="heading 1"/>
    <w:basedOn w:val="Normal"/>
    <w:next w:val="Normal"/>
    <w:link w:val="Heading1Char"/>
    <w:uiPriority w:val="9"/>
    <w:qFormat/>
    <w:rsid w:val="00AA3468"/>
    <w:pPr>
      <w:keepNext/>
      <w:keepLines/>
      <w:spacing w:before="360" w:after="80"/>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AA3468"/>
    <w:pPr>
      <w:keepNext/>
      <w:keepLines/>
      <w:spacing w:before="160" w:after="80"/>
      <w:outlineLvl w:val="1"/>
    </w:pPr>
    <w:rPr>
      <w:rFonts w:eastAsiaTheme="majorEastAsia" w:cstheme="majorBidi"/>
      <w:b/>
      <w:i/>
      <w:szCs w:val="32"/>
    </w:rPr>
  </w:style>
  <w:style w:type="paragraph" w:styleId="Heading3">
    <w:name w:val="heading 3"/>
    <w:basedOn w:val="Normal"/>
    <w:next w:val="Normal"/>
    <w:link w:val="Heading3Char"/>
    <w:uiPriority w:val="9"/>
    <w:unhideWhenUsed/>
    <w:qFormat/>
    <w:rsid w:val="00AA3468"/>
    <w:pPr>
      <w:keepNext/>
      <w:keepLines/>
      <w:spacing w:before="160" w:after="80"/>
      <w:outlineLvl w:val="2"/>
    </w:pPr>
    <w:rPr>
      <w:rFonts w:eastAsiaTheme="majorEastAsia" w:cstheme="majorBidi"/>
      <w:color w:val="A5A5A5" w:themeColor="accent1" w:themeShade="BF"/>
      <w:sz w:val="28"/>
      <w:szCs w:val="28"/>
    </w:rPr>
  </w:style>
  <w:style w:type="paragraph" w:styleId="Heading4">
    <w:name w:val="heading 4"/>
    <w:basedOn w:val="Normal"/>
    <w:next w:val="Normal"/>
    <w:link w:val="Heading4Char"/>
    <w:uiPriority w:val="9"/>
    <w:semiHidden/>
    <w:unhideWhenUsed/>
    <w:qFormat/>
    <w:rsid w:val="00AA3468"/>
    <w:pPr>
      <w:keepNext/>
      <w:keepLines/>
      <w:spacing w:before="80" w:after="40"/>
      <w:outlineLvl w:val="3"/>
    </w:pPr>
    <w:rPr>
      <w:rFonts w:eastAsiaTheme="majorEastAsia" w:cstheme="majorBidi"/>
      <w:i/>
      <w:iCs/>
      <w:color w:val="A5A5A5" w:themeColor="accent1" w:themeShade="BF"/>
    </w:rPr>
  </w:style>
  <w:style w:type="paragraph" w:styleId="Heading5">
    <w:name w:val="heading 5"/>
    <w:basedOn w:val="Normal"/>
    <w:next w:val="Normal"/>
    <w:link w:val="Heading5Char"/>
    <w:uiPriority w:val="9"/>
    <w:semiHidden/>
    <w:unhideWhenUsed/>
    <w:qFormat/>
    <w:rsid w:val="00AA3468"/>
    <w:pPr>
      <w:keepNext/>
      <w:keepLines/>
      <w:spacing w:before="80" w:after="40"/>
      <w:outlineLvl w:val="4"/>
    </w:pPr>
    <w:rPr>
      <w:rFonts w:eastAsiaTheme="majorEastAsia" w:cstheme="majorBidi"/>
      <w:color w:val="A5A5A5" w:themeColor="accent1" w:themeShade="BF"/>
    </w:rPr>
  </w:style>
  <w:style w:type="paragraph" w:styleId="Heading6">
    <w:name w:val="heading 6"/>
    <w:basedOn w:val="Normal"/>
    <w:next w:val="Normal"/>
    <w:link w:val="Heading6Char"/>
    <w:uiPriority w:val="9"/>
    <w:semiHidden/>
    <w:unhideWhenUsed/>
    <w:qFormat/>
    <w:rsid w:val="00AA34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34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34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34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uation">
    <w:name w:val="Equation"/>
    <w:basedOn w:val="BodyText"/>
    <w:uiPriority w:val="2"/>
    <w:qFormat/>
    <w:rsid w:val="00AA3468"/>
    <w:pPr>
      <w:tabs>
        <w:tab w:val="clear" w:pos="360"/>
        <w:tab w:val="clear" w:pos="720"/>
        <w:tab w:val="clear" w:pos="1080"/>
      </w:tabs>
    </w:pPr>
    <w:rPr>
      <w:rFonts w:eastAsia="Times New Roman" w:cs="Times New Roman"/>
    </w:rPr>
  </w:style>
  <w:style w:type="paragraph" w:styleId="BodyText">
    <w:name w:val="Body Text"/>
    <w:basedOn w:val="Normal"/>
    <w:link w:val="BodyTextChar"/>
    <w:qFormat/>
    <w:rsid w:val="00AA3468"/>
    <w:pPr>
      <w:tabs>
        <w:tab w:val="left" w:pos="360"/>
        <w:tab w:val="left" w:pos="720"/>
        <w:tab w:val="left" w:pos="1080"/>
      </w:tabs>
      <w:spacing w:before="240" w:after="0" w:line="240" w:lineRule="auto"/>
    </w:pPr>
    <w:rPr>
      <w:kern w:val="0"/>
      <w14:ligatures w14:val="none"/>
    </w:rPr>
  </w:style>
  <w:style w:type="character" w:customStyle="1" w:styleId="BodyTextChar">
    <w:name w:val="Body Text Char"/>
    <w:basedOn w:val="DefaultParagraphFont"/>
    <w:link w:val="BodyText"/>
    <w:rsid w:val="00AA3468"/>
    <w:rPr>
      <w:rFonts w:ascii="Times New Roman" w:hAnsi="Times New Roman"/>
      <w:kern w:val="0"/>
      <w14:ligatures w14:val="none"/>
    </w:rPr>
  </w:style>
  <w:style w:type="character" w:customStyle="1" w:styleId="Heading1Char">
    <w:name w:val="Heading 1 Char"/>
    <w:basedOn w:val="DefaultParagraphFont"/>
    <w:link w:val="Heading1"/>
    <w:uiPriority w:val="9"/>
    <w:rsid w:val="00AA3468"/>
    <w:rPr>
      <w:rFonts w:ascii="Times New Roman" w:eastAsiaTheme="majorEastAsia" w:hAnsi="Times New Roman" w:cstheme="majorBidi"/>
      <w:b/>
      <w:szCs w:val="40"/>
    </w:rPr>
  </w:style>
  <w:style w:type="character" w:customStyle="1" w:styleId="Heading2Char">
    <w:name w:val="Heading 2 Char"/>
    <w:basedOn w:val="DefaultParagraphFont"/>
    <w:link w:val="Heading2"/>
    <w:uiPriority w:val="9"/>
    <w:rsid w:val="00AA3468"/>
    <w:rPr>
      <w:rFonts w:ascii="Times New Roman" w:eastAsiaTheme="majorEastAsia" w:hAnsi="Times New Roman" w:cstheme="majorBidi"/>
      <w:b/>
      <w:i/>
      <w:szCs w:val="32"/>
    </w:rPr>
  </w:style>
  <w:style w:type="character" w:customStyle="1" w:styleId="Heading3Char">
    <w:name w:val="Heading 3 Char"/>
    <w:basedOn w:val="DefaultParagraphFont"/>
    <w:link w:val="Heading3"/>
    <w:uiPriority w:val="9"/>
    <w:rsid w:val="00AA3468"/>
    <w:rPr>
      <w:rFonts w:ascii="Times New Roman" w:eastAsiaTheme="majorEastAsia" w:hAnsi="Times New Roman" w:cstheme="majorBidi"/>
      <w:color w:val="A5A5A5" w:themeColor="accent1" w:themeShade="BF"/>
      <w:sz w:val="28"/>
      <w:szCs w:val="28"/>
    </w:rPr>
  </w:style>
  <w:style w:type="character" w:customStyle="1" w:styleId="Heading4Char">
    <w:name w:val="Heading 4 Char"/>
    <w:basedOn w:val="DefaultParagraphFont"/>
    <w:link w:val="Heading4"/>
    <w:uiPriority w:val="9"/>
    <w:semiHidden/>
    <w:rsid w:val="00AA3468"/>
    <w:rPr>
      <w:rFonts w:ascii="Times New Roman" w:eastAsiaTheme="majorEastAsia" w:hAnsi="Times New Roman" w:cstheme="majorBidi"/>
      <w:i/>
      <w:iCs/>
      <w:color w:val="A5A5A5" w:themeColor="accent1" w:themeShade="BF"/>
    </w:rPr>
  </w:style>
  <w:style w:type="character" w:customStyle="1" w:styleId="Heading5Char">
    <w:name w:val="Heading 5 Char"/>
    <w:basedOn w:val="DefaultParagraphFont"/>
    <w:link w:val="Heading5"/>
    <w:uiPriority w:val="9"/>
    <w:semiHidden/>
    <w:rsid w:val="00AA3468"/>
    <w:rPr>
      <w:rFonts w:ascii="Times New Roman" w:eastAsiaTheme="majorEastAsia" w:hAnsi="Times New Roman" w:cstheme="majorBidi"/>
      <w:color w:val="A5A5A5" w:themeColor="accent1" w:themeShade="BF"/>
    </w:rPr>
  </w:style>
  <w:style w:type="character" w:customStyle="1" w:styleId="Heading6Char">
    <w:name w:val="Heading 6 Char"/>
    <w:basedOn w:val="DefaultParagraphFont"/>
    <w:link w:val="Heading6"/>
    <w:uiPriority w:val="9"/>
    <w:semiHidden/>
    <w:rsid w:val="00AA3468"/>
    <w:rPr>
      <w:rFonts w:ascii="Times New Roman" w:eastAsiaTheme="majorEastAsia" w:hAnsi="Times New Roman" w:cstheme="majorBidi"/>
      <w:i/>
      <w:iCs/>
      <w:color w:val="595959" w:themeColor="text1" w:themeTint="A6"/>
    </w:rPr>
  </w:style>
  <w:style w:type="character" w:customStyle="1" w:styleId="Heading7Char">
    <w:name w:val="Heading 7 Char"/>
    <w:basedOn w:val="DefaultParagraphFont"/>
    <w:link w:val="Heading7"/>
    <w:uiPriority w:val="9"/>
    <w:semiHidden/>
    <w:rsid w:val="00AA3468"/>
    <w:rPr>
      <w:rFonts w:ascii="Times New Roman" w:eastAsiaTheme="majorEastAsia" w:hAnsi="Times New Roman" w:cstheme="majorBidi"/>
      <w:color w:val="595959" w:themeColor="text1" w:themeTint="A6"/>
    </w:rPr>
  </w:style>
  <w:style w:type="character" w:customStyle="1" w:styleId="Heading8Char">
    <w:name w:val="Heading 8 Char"/>
    <w:basedOn w:val="DefaultParagraphFont"/>
    <w:link w:val="Heading8"/>
    <w:uiPriority w:val="9"/>
    <w:semiHidden/>
    <w:rsid w:val="00AA3468"/>
    <w:rPr>
      <w:rFonts w:ascii="Times New Roman" w:eastAsiaTheme="majorEastAsia" w:hAnsi="Times New Roman" w:cstheme="majorBidi"/>
      <w:i/>
      <w:iCs/>
      <w:color w:val="272727" w:themeColor="text1" w:themeTint="D8"/>
    </w:rPr>
  </w:style>
  <w:style w:type="character" w:customStyle="1" w:styleId="Heading9Char">
    <w:name w:val="Heading 9 Char"/>
    <w:basedOn w:val="DefaultParagraphFont"/>
    <w:link w:val="Heading9"/>
    <w:uiPriority w:val="9"/>
    <w:semiHidden/>
    <w:rsid w:val="00AA3468"/>
    <w:rPr>
      <w:rFonts w:ascii="Times New Roman" w:eastAsiaTheme="majorEastAsia" w:hAnsi="Times New Roman" w:cstheme="majorBidi"/>
      <w:color w:val="272727" w:themeColor="text1" w:themeTint="D8"/>
    </w:rPr>
  </w:style>
  <w:style w:type="character" w:styleId="CommentReference">
    <w:name w:val="annotation reference"/>
    <w:basedOn w:val="DefaultParagraphFont"/>
    <w:uiPriority w:val="99"/>
    <w:semiHidden/>
    <w:unhideWhenUsed/>
    <w:qFormat/>
    <w:rsid w:val="00AA3468"/>
    <w:rPr>
      <w:sz w:val="16"/>
      <w:szCs w:val="16"/>
    </w:rPr>
  </w:style>
  <w:style w:type="paragraph" w:styleId="Title">
    <w:name w:val="Title"/>
    <w:basedOn w:val="Normal"/>
    <w:next w:val="Normal"/>
    <w:link w:val="TitleChar"/>
    <w:uiPriority w:val="10"/>
    <w:qFormat/>
    <w:rsid w:val="00AA34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3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34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3468"/>
    <w:rPr>
      <w:rFonts w:ascii="Times New Roman" w:eastAsiaTheme="majorEastAsia" w:hAnsi="Times New Roman" w:cstheme="majorBidi"/>
      <w:color w:val="595959" w:themeColor="text1" w:themeTint="A6"/>
      <w:spacing w:val="15"/>
      <w:sz w:val="28"/>
      <w:szCs w:val="28"/>
    </w:rPr>
  </w:style>
  <w:style w:type="character" w:styleId="Strong">
    <w:name w:val="Strong"/>
    <w:basedOn w:val="DefaultParagraphFont"/>
    <w:uiPriority w:val="22"/>
    <w:qFormat/>
    <w:rsid w:val="00AA3468"/>
    <w:rPr>
      <w:b/>
      <w:bCs/>
    </w:rPr>
  </w:style>
  <w:style w:type="character" w:styleId="Emphasis">
    <w:name w:val="Emphasis"/>
    <w:basedOn w:val="DefaultParagraphFont"/>
    <w:uiPriority w:val="20"/>
    <w:qFormat/>
    <w:rsid w:val="00AA3468"/>
    <w:rPr>
      <w:i/>
      <w:iCs/>
    </w:rPr>
  </w:style>
  <w:style w:type="paragraph" w:styleId="ListParagraph">
    <w:name w:val="List Paragraph"/>
    <w:basedOn w:val="Normal"/>
    <w:uiPriority w:val="34"/>
    <w:qFormat/>
    <w:rsid w:val="00AA3468"/>
    <w:pPr>
      <w:ind w:left="720"/>
      <w:contextualSpacing/>
    </w:pPr>
  </w:style>
  <w:style w:type="paragraph" w:styleId="Quote">
    <w:name w:val="Quote"/>
    <w:basedOn w:val="Normal"/>
    <w:next w:val="Normal"/>
    <w:link w:val="QuoteChar"/>
    <w:uiPriority w:val="29"/>
    <w:qFormat/>
    <w:rsid w:val="00AA3468"/>
    <w:pPr>
      <w:spacing w:before="160"/>
      <w:jc w:val="center"/>
    </w:pPr>
    <w:rPr>
      <w:i/>
      <w:iCs/>
      <w:color w:val="404040" w:themeColor="text1" w:themeTint="BF"/>
    </w:rPr>
  </w:style>
  <w:style w:type="character" w:customStyle="1" w:styleId="QuoteChar">
    <w:name w:val="Quote Char"/>
    <w:basedOn w:val="DefaultParagraphFont"/>
    <w:link w:val="Quote"/>
    <w:uiPriority w:val="29"/>
    <w:rsid w:val="00AA3468"/>
    <w:rPr>
      <w:rFonts w:ascii="Times New Roman" w:hAnsi="Times New Roman"/>
      <w:i/>
      <w:iCs/>
      <w:color w:val="404040" w:themeColor="text1" w:themeTint="BF"/>
    </w:rPr>
  </w:style>
  <w:style w:type="paragraph" w:styleId="IntenseQuote">
    <w:name w:val="Intense Quote"/>
    <w:basedOn w:val="Normal"/>
    <w:next w:val="Normal"/>
    <w:link w:val="IntenseQuoteChar"/>
    <w:uiPriority w:val="30"/>
    <w:qFormat/>
    <w:rsid w:val="00AA3468"/>
    <w:pPr>
      <w:pBdr>
        <w:top w:val="single" w:sz="4" w:space="10" w:color="A5A5A5" w:themeColor="accent1" w:themeShade="BF"/>
        <w:bottom w:val="single" w:sz="4" w:space="10" w:color="A5A5A5" w:themeColor="accent1" w:themeShade="BF"/>
      </w:pBdr>
      <w:spacing w:before="360" w:after="360"/>
      <w:ind w:left="864" w:right="864"/>
      <w:jc w:val="center"/>
    </w:pPr>
    <w:rPr>
      <w:i/>
      <w:iCs/>
      <w:color w:val="A5A5A5" w:themeColor="accent1" w:themeShade="BF"/>
    </w:rPr>
  </w:style>
  <w:style w:type="character" w:customStyle="1" w:styleId="IntenseQuoteChar">
    <w:name w:val="Intense Quote Char"/>
    <w:basedOn w:val="DefaultParagraphFont"/>
    <w:link w:val="IntenseQuote"/>
    <w:uiPriority w:val="30"/>
    <w:rsid w:val="00AA3468"/>
    <w:rPr>
      <w:rFonts w:ascii="Times New Roman" w:hAnsi="Times New Roman"/>
      <w:i/>
      <w:iCs/>
      <w:color w:val="A5A5A5" w:themeColor="accent1" w:themeShade="BF"/>
    </w:rPr>
  </w:style>
  <w:style w:type="character" w:styleId="IntenseEmphasis">
    <w:name w:val="Intense Emphasis"/>
    <w:basedOn w:val="DefaultParagraphFont"/>
    <w:uiPriority w:val="21"/>
    <w:qFormat/>
    <w:rsid w:val="00AA3468"/>
    <w:rPr>
      <w:i/>
      <w:iCs/>
      <w:color w:val="A5A5A5" w:themeColor="accent1" w:themeShade="BF"/>
    </w:rPr>
  </w:style>
  <w:style w:type="character" w:styleId="IntenseReference">
    <w:name w:val="Intense Reference"/>
    <w:basedOn w:val="DefaultParagraphFont"/>
    <w:uiPriority w:val="32"/>
    <w:qFormat/>
    <w:rsid w:val="00AA3468"/>
    <w:rPr>
      <w:b/>
      <w:bCs/>
      <w:smallCaps/>
      <w:color w:val="A5A5A5" w:themeColor="accent1" w:themeShade="BF"/>
      <w:spacing w:val="5"/>
    </w:rPr>
  </w:style>
  <w:style w:type="paragraph" w:styleId="TOCHeading">
    <w:name w:val="TOC Heading"/>
    <w:basedOn w:val="Heading1"/>
    <w:next w:val="Normal"/>
    <w:uiPriority w:val="39"/>
    <w:unhideWhenUsed/>
    <w:qFormat/>
    <w:rsid w:val="00AA3468"/>
    <w:pPr>
      <w:spacing w:before="480" w:after="0" w:line="276" w:lineRule="auto"/>
      <w:outlineLvl w:val="9"/>
    </w:pPr>
    <w:rPr>
      <w:rFonts w:asciiTheme="majorHAnsi" w:hAnsiTheme="majorHAnsi"/>
      <w:bCs/>
      <w:color w:val="A5A5A5" w:themeColor="accent1" w:themeShade="BF"/>
      <w:kern w:val="0"/>
      <w:sz w:val="28"/>
      <w:szCs w:val="28"/>
      <w14:ligatures w14:val="none"/>
    </w:rPr>
  </w:style>
  <w:style w:type="paragraph" w:styleId="NormalWeb">
    <w:name w:val="Normal (Web)"/>
    <w:basedOn w:val="Normal"/>
    <w:uiPriority w:val="99"/>
    <w:semiHidden/>
    <w:unhideWhenUsed/>
    <w:rsid w:val="00793E03"/>
    <w:pPr>
      <w:spacing w:before="100" w:beforeAutospacing="1" w:after="100" w:afterAutospacing="1" w:line="240" w:lineRule="auto"/>
    </w:pPr>
    <w:rPr>
      <w:rFonts w:eastAsia="Times New Roman" w:cs="Times New Roman"/>
      <w:kern w:val="0"/>
      <w14:ligatures w14:val="none"/>
    </w:rPr>
  </w:style>
  <w:style w:type="character" w:styleId="PlaceholderText">
    <w:name w:val="Placeholder Text"/>
    <w:basedOn w:val="DefaultParagraphFont"/>
    <w:uiPriority w:val="99"/>
    <w:semiHidden/>
    <w:rsid w:val="00793E03"/>
    <w:rPr>
      <w:color w:val="666666"/>
    </w:rPr>
  </w:style>
  <w:style w:type="paragraph" w:styleId="Caption">
    <w:name w:val="caption"/>
    <w:basedOn w:val="Normal"/>
    <w:next w:val="Normal"/>
    <w:uiPriority w:val="35"/>
    <w:unhideWhenUsed/>
    <w:qFormat/>
    <w:rsid w:val="00793E03"/>
    <w:pPr>
      <w:spacing w:after="200" w:line="240" w:lineRule="auto"/>
    </w:pPr>
    <w:rPr>
      <w:i/>
      <w:iCs/>
      <w:color w:val="000000" w:themeColor="text2"/>
      <w:sz w:val="18"/>
      <w:szCs w:val="18"/>
    </w:rPr>
  </w:style>
  <w:style w:type="character" w:styleId="Hyperlink">
    <w:name w:val="Hyperlink"/>
    <w:basedOn w:val="DefaultParagraphFont"/>
    <w:uiPriority w:val="99"/>
    <w:unhideWhenUsed/>
    <w:rsid w:val="00BE068D"/>
    <w:rPr>
      <w:color w:val="5F5F5F" w:themeColor="hyperlink"/>
      <w:u w:val="single"/>
    </w:rPr>
  </w:style>
  <w:style w:type="character" w:styleId="UnresolvedMention">
    <w:name w:val="Unresolved Mention"/>
    <w:basedOn w:val="DefaultParagraphFont"/>
    <w:uiPriority w:val="99"/>
    <w:semiHidden/>
    <w:unhideWhenUsed/>
    <w:rsid w:val="00BE068D"/>
    <w:rPr>
      <w:color w:val="605E5C"/>
      <w:shd w:val="clear" w:color="auto" w:fill="E1DFDD"/>
    </w:rPr>
  </w:style>
  <w:style w:type="paragraph" w:customStyle="1" w:styleId="EndNoteBibliographyTitle">
    <w:name w:val="EndNote Bibliography Title"/>
    <w:basedOn w:val="Normal"/>
    <w:link w:val="EndNoteBibliographyTitleChar"/>
    <w:rsid w:val="00BE068D"/>
    <w:pPr>
      <w:spacing w:after="0"/>
      <w:jc w:val="center"/>
    </w:pPr>
    <w:rPr>
      <w:rFonts w:cs="Times New Roman"/>
    </w:rPr>
  </w:style>
  <w:style w:type="character" w:customStyle="1" w:styleId="EndNoteBibliographyTitleChar">
    <w:name w:val="EndNote Bibliography Title Char"/>
    <w:basedOn w:val="DefaultParagraphFont"/>
    <w:link w:val="EndNoteBibliographyTitle"/>
    <w:rsid w:val="00BE068D"/>
    <w:rPr>
      <w:rFonts w:ascii="Times New Roman" w:hAnsi="Times New Roman" w:cs="Times New Roman"/>
    </w:rPr>
  </w:style>
  <w:style w:type="paragraph" w:customStyle="1" w:styleId="EndNoteBibliography">
    <w:name w:val="EndNote Bibliography"/>
    <w:basedOn w:val="Normal"/>
    <w:link w:val="EndNoteBibliographyChar"/>
    <w:rsid w:val="00BE068D"/>
    <w:pPr>
      <w:spacing w:line="240" w:lineRule="auto"/>
    </w:pPr>
    <w:rPr>
      <w:rFonts w:cs="Times New Roman"/>
    </w:rPr>
  </w:style>
  <w:style w:type="character" w:customStyle="1" w:styleId="EndNoteBibliographyChar">
    <w:name w:val="EndNote Bibliography Char"/>
    <w:basedOn w:val="DefaultParagraphFont"/>
    <w:link w:val="EndNoteBibliography"/>
    <w:rsid w:val="00BE068D"/>
    <w:rPr>
      <w:rFonts w:ascii="Times New Roman" w:hAnsi="Times New Roman" w:cs="Times New Roman"/>
    </w:rPr>
  </w:style>
  <w:style w:type="paragraph" w:styleId="CommentText">
    <w:name w:val="annotation text"/>
    <w:basedOn w:val="Normal"/>
    <w:link w:val="CommentTextChar"/>
    <w:uiPriority w:val="99"/>
    <w:unhideWhenUsed/>
    <w:rsid w:val="00226E22"/>
    <w:pPr>
      <w:spacing w:after="0"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qFormat/>
    <w:rsid w:val="00226E22"/>
    <w:rPr>
      <w:sz w:val="20"/>
      <w:szCs w:val="20"/>
    </w:rPr>
  </w:style>
  <w:style w:type="paragraph" w:styleId="CommentSubject">
    <w:name w:val="annotation subject"/>
    <w:basedOn w:val="CommentText"/>
    <w:next w:val="CommentText"/>
    <w:link w:val="CommentSubjectChar"/>
    <w:uiPriority w:val="99"/>
    <w:semiHidden/>
    <w:unhideWhenUsed/>
    <w:rsid w:val="00305ED8"/>
    <w:pPr>
      <w:spacing w:after="160"/>
    </w:pPr>
    <w:rPr>
      <w:rFonts w:ascii="Times New Roman" w:hAnsi="Times New Roman"/>
      <w:b/>
      <w:bCs/>
    </w:rPr>
  </w:style>
  <w:style w:type="character" w:customStyle="1" w:styleId="CommentSubjectChar">
    <w:name w:val="Comment Subject Char"/>
    <w:basedOn w:val="CommentTextChar"/>
    <w:link w:val="CommentSubject"/>
    <w:uiPriority w:val="99"/>
    <w:semiHidden/>
    <w:rsid w:val="00305ED8"/>
    <w:rPr>
      <w:rFonts w:ascii="Times New Roman" w:hAnsi="Times New Roman"/>
      <w:b/>
      <w:bCs/>
      <w:sz w:val="20"/>
      <w:szCs w:val="20"/>
    </w:rPr>
  </w:style>
  <w:style w:type="paragraph" w:styleId="Header">
    <w:name w:val="header"/>
    <w:basedOn w:val="Normal"/>
    <w:link w:val="HeaderChar"/>
    <w:uiPriority w:val="99"/>
    <w:unhideWhenUsed/>
    <w:rsid w:val="000651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1DD"/>
    <w:rPr>
      <w:rFonts w:ascii="Times New Roman" w:hAnsi="Times New Roman"/>
    </w:rPr>
  </w:style>
  <w:style w:type="paragraph" w:styleId="Footer">
    <w:name w:val="footer"/>
    <w:basedOn w:val="Normal"/>
    <w:link w:val="FooterChar"/>
    <w:uiPriority w:val="99"/>
    <w:unhideWhenUsed/>
    <w:rsid w:val="000651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1D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093/gji/ggaa510"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yperlink" Target="https://doi.org/10.1016/j.jconhyd.2007.09.003"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doi.org/https://doi.org/10.1002/2014WR0161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osti.gov/servlets/purl/1423418"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www.osti.gov/biblio/1423418" TargetMode="External"/><Relationship Id="rId10" Type="http://schemas.openxmlformats.org/officeDocument/2006/relationships/image" Target="media/image2.jpe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hyperlink" Target="https://doi.org/10.1190/1.1990218"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49ED7-37C0-A549-8248-FBE5F828E2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2303</Words>
  <Characters>14056</Characters>
  <Application>Microsoft Office Word</Application>
  <DocSecurity>0</DocSecurity>
  <Lines>356</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Vincent, Zoe G</dc:creator>
  <cp:keywords/>
  <dc:description/>
  <cp:lastModifiedBy>Vincent, Zoe G</cp:lastModifiedBy>
  <cp:revision>6</cp:revision>
  <dcterms:created xsi:type="dcterms:W3CDTF">2025-12-31T18:11:00Z</dcterms:created>
  <dcterms:modified xsi:type="dcterms:W3CDTF">2026-01-06T16:30:00Z</dcterms:modified>
</cp:coreProperties>
</file>